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85" w:rsidRDefault="00001A85" w:rsidP="00001A85">
      <w:pPr>
        <w:pBdr>
          <w:bottom w:val="single" w:sz="4" w:space="1" w:color="BFBFBF"/>
        </w:pBdr>
        <w:spacing w:after="0" w:line="240" w:lineRule="auto"/>
        <w:rPr>
          <w:color w:val="0070C0"/>
          <w:sz w:val="20"/>
          <w:szCs w:val="20"/>
        </w:rPr>
      </w:pPr>
      <w:bookmarkStart w:id="0" w:name="_GoBack"/>
    </w:p>
    <w:bookmarkEnd w:id="0"/>
    <w:p w:rsidR="00001A85" w:rsidRPr="00E55B49" w:rsidRDefault="00001A85" w:rsidP="00001A85">
      <w:pPr>
        <w:pBdr>
          <w:bottom w:val="single" w:sz="4" w:space="1" w:color="BFBFBF"/>
        </w:pBdr>
        <w:spacing w:after="0" w:line="240" w:lineRule="auto"/>
        <w:rPr>
          <w:color w:val="0070C0"/>
          <w:sz w:val="20"/>
          <w:szCs w:val="20"/>
        </w:rPr>
      </w:pPr>
      <w:r w:rsidRPr="00E55B49">
        <w:rPr>
          <w:color w:val="0070C0"/>
          <w:sz w:val="20"/>
          <w:szCs w:val="20"/>
        </w:rPr>
        <w:t xml:space="preserve">PROJECT SUCCESS: PROPOSED </w:t>
      </w:r>
      <w:bookmarkStart w:id="1" w:name="_Hlk509398757"/>
      <w:r>
        <w:rPr>
          <w:color w:val="0070C0"/>
          <w:sz w:val="20"/>
          <w:szCs w:val="20"/>
        </w:rPr>
        <w:t xml:space="preserve">STOP-OUT ENGAGEMENT </w:t>
      </w:r>
      <w:r w:rsidRPr="00E55B49">
        <w:rPr>
          <w:color w:val="0070C0"/>
          <w:sz w:val="20"/>
          <w:szCs w:val="20"/>
        </w:rPr>
        <w:t>SUPPORT PLAN</w:t>
      </w:r>
    </w:p>
    <w:bookmarkEnd w:id="1"/>
    <w:p w:rsidR="00001A85" w:rsidRDefault="00001A85" w:rsidP="00001A85">
      <w:pPr>
        <w:spacing w:after="0" w:line="240" w:lineRule="auto"/>
        <w:jc w:val="both"/>
        <w:rPr>
          <w:color w:val="404040"/>
          <w:sz w:val="20"/>
          <w:szCs w:val="20"/>
        </w:rPr>
      </w:pPr>
      <w:r w:rsidRPr="00C37C74">
        <w:rPr>
          <w:color w:val="404040"/>
          <w:sz w:val="20"/>
          <w:szCs w:val="20"/>
        </w:rPr>
        <w:t xml:space="preserve">The rising cost of </w:t>
      </w:r>
      <w:r>
        <w:rPr>
          <w:color w:val="404040"/>
          <w:sz w:val="20"/>
          <w:szCs w:val="20"/>
        </w:rPr>
        <w:t>higher education has created</w:t>
      </w:r>
      <w:r w:rsidRPr="00C37C74">
        <w:rPr>
          <w:color w:val="404040"/>
          <w:sz w:val="20"/>
          <w:szCs w:val="20"/>
        </w:rPr>
        <w:t xml:space="preserve"> financial </w:t>
      </w:r>
      <w:r>
        <w:rPr>
          <w:color w:val="404040"/>
          <w:sz w:val="20"/>
          <w:szCs w:val="20"/>
        </w:rPr>
        <w:t xml:space="preserve">anxieties and concerns </w:t>
      </w:r>
      <w:r w:rsidRPr="00C37C74">
        <w:rPr>
          <w:color w:val="404040"/>
          <w:sz w:val="20"/>
          <w:szCs w:val="20"/>
        </w:rPr>
        <w:t>for students</w:t>
      </w:r>
      <w:r>
        <w:rPr>
          <w:color w:val="404040"/>
          <w:sz w:val="20"/>
          <w:szCs w:val="20"/>
        </w:rPr>
        <w:t xml:space="preserve"> and families across the country. On a regular basis, students weigh the costs associated with earning a certificate or degree versus alternative opportunities such as finding hourly wage employment, tending to family responsibilities, pursuing alternative certifications for career prospects, etc. These circumstances have led to a national rise in “college stop-outs”, a term used to describe those individuals who withdraw from college temporarily and re-enroll later. As the number of college stop-outs increases across the higher education landscape, institutional leaders must develop strategies to reengage these students so that they can reenroll and achieve their initial academic and career goals. </w:t>
      </w:r>
    </w:p>
    <w:p w:rsidR="00001A85" w:rsidRDefault="00001A85" w:rsidP="00001A85">
      <w:pPr>
        <w:spacing w:after="0" w:line="240" w:lineRule="auto"/>
        <w:jc w:val="both"/>
        <w:rPr>
          <w:color w:val="404040"/>
          <w:sz w:val="20"/>
          <w:szCs w:val="20"/>
        </w:rPr>
      </w:pPr>
    </w:p>
    <w:p w:rsidR="00001A85" w:rsidRPr="00E55B49" w:rsidRDefault="00001A85" w:rsidP="00001A85">
      <w:pPr>
        <w:spacing w:after="0" w:line="240" w:lineRule="auto"/>
        <w:jc w:val="both"/>
        <w:rPr>
          <w:b/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Successful stop-out reenrollment campaigns require two critical components: interpersonal engagement &amp; transformative support resources. Through Trellis’ stop-out engagement support plan, institutions will be able to leverage Trellis’ multi-faceted communication resources and network of virtual coaches to connect with students who have stopped out. In partnership with the institution, Trellis can help create a uniquely tailored stop-out reengagement plan that allows for customized messaging to targeted students. </w:t>
      </w:r>
      <w:r w:rsidRPr="00E55B49">
        <w:rPr>
          <w:color w:val="404040"/>
          <w:sz w:val="20"/>
          <w:szCs w:val="20"/>
        </w:rPr>
        <w:t xml:space="preserve">If you have any questions or concerns, please feel free to communicate with Manny Gonzalez, Senior Institutional Support Consultant.  </w:t>
      </w:r>
    </w:p>
    <w:p w:rsidR="00001A85" w:rsidRPr="00E55B49" w:rsidRDefault="00001A85" w:rsidP="00001A85">
      <w:pPr>
        <w:spacing w:after="0" w:line="240" w:lineRule="auto"/>
        <w:jc w:val="center"/>
        <w:rPr>
          <w:rFonts w:eastAsia="Cambria" w:cs="Calibri"/>
          <w:b/>
          <w:color w:val="404040"/>
          <w:sz w:val="20"/>
          <w:szCs w:val="20"/>
          <w:u w:val="single"/>
        </w:rPr>
      </w:pPr>
    </w:p>
    <w:p w:rsidR="00001A85" w:rsidRDefault="00001A85" w:rsidP="00001A85">
      <w:pPr>
        <w:spacing w:after="0" w:line="240" w:lineRule="auto"/>
        <w:jc w:val="center"/>
        <w:rPr>
          <w:rFonts w:eastAsia="Cambria" w:cs="Calibri"/>
          <w:b/>
          <w:color w:val="404040"/>
          <w:sz w:val="20"/>
          <w:szCs w:val="20"/>
          <w:u w:val="single"/>
        </w:rPr>
      </w:pPr>
      <w:r>
        <w:rPr>
          <w:rFonts w:eastAsia="Cambria" w:cs="Calibri"/>
          <w:b/>
          <w:color w:val="404040"/>
          <w:sz w:val="20"/>
          <w:szCs w:val="20"/>
          <w:u w:val="single"/>
        </w:rPr>
        <w:t xml:space="preserve">Stop-Out Engagement Support </w:t>
      </w:r>
      <w:r w:rsidRPr="00E55B49">
        <w:rPr>
          <w:rFonts w:eastAsia="Cambria" w:cs="Calibri"/>
          <w:b/>
          <w:color w:val="404040"/>
          <w:sz w:val="20"/>
          <w:szCs w:val="20"/>
          <w:u w:val="single"/>
        </w:rPr>
        <w:t>Plan</w:t>
      </w:r>
      <w:r>
        <w:rPr>
          <w:rFonts w:eastAsia="Cambria" w:cs="Calibri"/>
          <w:b/>
          <w:color w:val="404040"/>
          <w:sz w:val="20"/>
          <w:szCs w:val="20"/>
          <w:u w:val="single"/>
        </w:rPr>
        <w:t xml:space="preserve"> Example</w:t>
      </w:r>
      <w:r w:rsidRPr="00E55B49">
        <w:rPr>
          <w:rFonts w:eastAsia="Cambria" w:cs="Calibri"/>
          <w:b/>
          <w:color w:val="404040"/>
          <w:sz w:val="20"/>
          <w:szCs w:val="20"/>
          <w:u w:val="single"/>
        </w:rPr>
        <w:t xml:space="preserve"> </w:t>
      </w:r>
    </w:p>
    <w:p w:rsidR="00001A85" w:rsidRPr="00E55B49" w:rsidRDefault="00001A85" w:rsidP="00001A85">
      <w:pPr>
        <w:spacing w:after="0" w:line="240" w:lineRule="auto"/>
        <w:jc w:val="center"/>
        <w:rPr>
          <w:rFonts w:eastAsia="Cambria" w:cs="Calibri"/>
          <w:b/>
          <w:color w:val="404040"/>
          <w:sz w:val="20"/>
          <w:szCs w:val="20"/>
          <w:u w:val="single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463"/>
        <w:gridCol w:w="1187"/>
        <w:gridCol w:w="4949"/>
        <w:gridCol w:w="2651"/>
      </w:tblGrid>
      <w:tr w:rsidR="00001A85" w:rsidRPr="00E55B49" w:rsidTr="008B6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Outreach Method</w:t>
            </w:r>
          </w:p>
        </w:tc>
        <w:tc>
          <w:tcPr>
            <w:tcW w:w="579" w:type="pct"/>
          </w:tcPr>
          <w:p w:rsidR="00001A85" w:rsidRPr="00E55B49" w:rsidRDefault="00001A85" w:rsidP="008B6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Support Service</w:t>
            </w:r>
          </w:p>
        </w:tc>
        <w:tc>
          <w:tcPr>
            <w:tcW w:w="2414" w:type="pct"/>
          </w:tcPr>
          <w:p w:rsidR="00001A85" w:rsidRPr="00E55B49" w:rsidRDefault="00001A85" w:rsidP="008B6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Objective of Communication and Coaching </w:t>
            </w:r>
          </w:p>
        </w:tc>
        <w:tc>
          <w:tcPr>
            <w:tcW w:w="1293" w:type="pct"/>
          </w:tcPr>
          <w:p w:rsidR="00001A85" w:rsidRPr="00E55B49" w:rsidRDefault="00001A85" w:rsidP="008B6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Information Required from </w:t>
            </w:r>
            <w:r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</w:tr>
      <w:tr w:rsidR="00001A85" w:rsidRPr="00E55B49" w:rsidTr="008B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Text Message</w:t>
            </w:r>
          </w:p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(Initial)</w:t>
            </w:r>
          </w:p>
        </w:tc>
        <w:tc>
          <w:tcPr>
            <w:tcW w:w="579" w:type="pct"/>
          </w:tcPr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- Virtual Coaching</w:t>
            </w:r>
          </w:p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- Online Resource</w:t>
            </w:r>
          </w:p>
        </w:tc>
        <w:tc>
          <w:tcPr>
            <w:tcW w:w="2414" w:type="pct"/>
          </w:tcPr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Inform student of being identified as a prospective student for reenrollment</w:t>
            </w:r>
          </w:p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Inform student of value of certificate/degree completion</w:t>
            </w:r>
          </w:p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Direct student to virtual resource that can provide guidance on </w:t>
            </w:r>
            <w:r>
              <w:rPr>
                <w:rFonts w:asciiTheme="minorHAnsi" w:hAnsiTheme="minorHAnsi"/>
                <w:sz w:val="20"/>
                <w:szCs w:val="20"/>
              </w:rPr>
              <w:t>reenrollment</w:t>
            </w:r>
          </w:p>
        </w:tc>
        <w:tc>
          <w:tcPr>
            <w:tcW w:w="1293" w:type="pct"/>
          </w:tcPr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List of students selected for </w:t>
            </w:r>
            <w:r>
              <w:rPr>
                <w:rFonts w:asciiTheme="minorHAnsi" w:hAnsiTheme="minorHAnsi"/>
                <w:sz w:val="20"/>
                <w:szCs w:val="20"/>
              </w:rPr>
              <w:t>stop-out campaign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>, name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 xml:space="preserve"> and SMS phone number</w:t>
            </w:r>
          </w:p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Contact info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or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 xml:space="preserve"> campus-specific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resources 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 xml:space="preserve">(e.g. </w:t>
            </w:r>
            <w:r>
              <w:rPr>
                <w:rFonts w:asciiTheme="minorHAnsi" w:hAnsiTheme="minorHAnsi"/>
                <w:sz w:val="20"/>
                <w:szCs w:val="20"/>
              </w:rPr>
              <w:t>admissions office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advising office, business office, etc.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01A85" w:rsidRPr="00E55B49" w:rsidTr="008B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Text Message</w:t>
            </w:r>
          </w:p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(2</w:t>
            </w:r>
            <w:r w:rsidRPr="00E55B49">
              <w:rPr>
                <w:sz w:val="20"/>
                <w:szCs w:val="20"/>
                <w:vertAlign w:val="superscript"/>
              </w:rPr>
              <w:t>nd</w:t>
            </w:r>
            <w:r w:rsidRPr="00E55B49">
              <w:rPr>
                <w:sz w:val="20"/>
                <w:szCs w:val="20"/>
              </w:rPr>
              <w:t xml:space="preserve"> attempt)</w:t>
            </w:r>
          </w:p>
          <w:p w:rsidR="00001A85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Weeks </w:t>
            </w:r>
          </w:p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Post-1</w:t>
            </w:r>
            <w:r w:rsidRPr="00E55B4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Text</w:t>
            </w:r>
          </w:p>
        </w:tc>
        <w:tc>
          <w:tcPr>
            <w:tcW w:w="579" w:type="pct"/>
          </w:tcPr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- Virtual Coaching</w:t>
            </w:r>
          </w:p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- Online Resource</w:t>
            </w:r>
          </w:p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4" w:type="pct"/>
          </w:tcPr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>- Remind student of their selection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as a prospective student for reenrollment</w:t>
            </w:r>
          </w:p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Ease anxiety and/or confusion </w:t>
            </w:r>
          </w:p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Direct student to virtual resource that can provide guidance on how to complete </w:t>
            </w:r>
            <w:r>
              <w:rPr>
                <w:rFonts w:asciiTheme="minorHAnsi" w:hAnsiTheme="minorHAnsi"/>
                <w:sz w:val="20"/>
                <w:szCs w:val="20"/>
              </w:rPr>
              <w:t>reenrollment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 xml:space="preserve"> process</w:t>
            </w:r>
          </w:p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Provide students with </w:t>
            </w:r>
            <w:r>
              <w:rPr>
                <w:rFonts w:asciiTheme="minorHAnsi" w:hAnsiTheme="minorHAnsi"/>
                <w:sz w:val="20"/>
                <w:szCs w:val="20"/>
              </w:rPr>
              <w:t>institutional Admissions/Advising/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>Financial Aid contact for additional resource</w:t>
            </w:r>
          </w:p>
        </w:tc>
        <w:tc>
          <w:tcPr>
            <w:tcW w:w="1293" w:type="pct"/>
          </w:tcPr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>- List of students who did not respond to initial text</w:t>
            </w:r>
          </w:p>
        </w:tc>
      </w:tr>
      <w:tr w:rsidR="00001A85" w:rsidRPr="00E55B49" w:rsidTr="008B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Message</w:t>
            </w:r>
          </w:p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(3</w:t>
            </w:r>
            <w:r w:rsidRPr="00E55B49">
              <w:rPr>
                <w:sz w:val="20"/>
                <w:szCs w:val="20"/>
                <w:vertAlign w:val="superscript"/>
              </w:rPr>
              <w:t>rd</w:t>
            </w:r>
            <w:r w:rsidRPr="00E55B49">
              <w:rPr>
                <w:sz w:val="20"/>
                <w:szCs w:val="20"/>
              </w:rPr>
              <w:t xml:space="preserve"> Attempt)</w:t>
            </w:r>
          </w:p>
          <w:p w:rsidR="00001A85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Weeks </w:t>
            </w:r>
          </w:p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Post-1</w:t>
            </w:r>
            <w:r w:rsidRPr="00E55B4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Text</w:t>
            </w:r>
          </w:p>
        </w:tc>
        <w:tc>
          <w:tcPr>
            <w:tcW w:w="579" w:type="pct"/>
          </w:tcPr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- Virtual Coaching</w:t>
            </w:r>
          </w:p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4" w:type="pct"/>
          </w:tcPr>
          <w:p w:rsidR="00001A85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Inquire about circumstance preventing reenrollment</w:t>
            </w:r>
          </w:p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Provide motivational message and resources that are available </w:t>
            </w:r>
          </w:p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Direct student to virtual resource that can provide guidance on </w:t>
            </w:r>
            <w:r>
              <w:rPr>
                <w:rFonts w:asciiTheme="minorHAnsi" w:hAnsiTheme="minorHAnsi"/>
                <w:sz w:val="20"/>
                <w:szCs w:val="20"/>
              </w:rPr>
              <w:t>reenrollment</w:t>
            </w:r>
          </w:p>
        </w:tc>
        <w:tc>
          <w:tcPr>
            <w:tcW w:w="1293" w:type="pct"/>
          </w:tcPr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>- List of students who did not respond to initial text</w:t>
            </w:r>
          </w:p>
        </w:tc>
      </w:tr>
      <w:tr w:rsidR="00001A85" w:rsidRPr="00E55B49" w:rsidTr="008B6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Message</w:t>
            </w:r>
          </w:p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F31FF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E55B49">
              <w:rPr>
                <w:sz w:val="20"/>
                <w:szCs w:val="20"/>
              </w:rPr>
              <w:t>Attempt)</w:t>
            </w:r>
          </w:p>
          <w:p w:rsidR="00001A85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Weeks </w:t>
            </w:r>
          </w:p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Post-1</w:t>
            </w:r>
            <w:r w:rsidRPr="00E55B4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Text</w:t>
            </w:r>
          </w:p>
        </w:tc>
        <w:tc>
          <w:tcPr>
            <w:tcW w:w="579" w:type="pct"/>
          </w:tcPr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- Virtual Coaching</w:t>
            </w:r>
          </w:p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- Online Resource</w:t>
            </w:r>
          </w:p>
        </w:tc>
        <w:tc>
          <w:tcPr>
            <w:tcW w:w="2414" w:type="pct"/>
          </w:tcPr>
          <w:p w:rsidR="00001A85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Provide student with motivational message regarding reenrollment</w:t>
            </w:r>
          </w:p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Inform student of time-sensitive deadlines (FAFSA, registration, orientation, etc.)</w:t>
            </w:r>
          </w:p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Direct students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institutional 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>contact</w:t>
            </w:r>
            <w:r>
              <w:rPr>
                <w:rFonts w:asciiTheme="minorHAnsi" w:hAnsiTheme="minorHAnsi"/>
                <w:sz w:val="20"/>
                <w:szCs w:val="20"/>
              </w:rPr>
              <w:t>s for assistance with reenrollment</w:t>
            </w:r>
          </w:p>
        </w:tc>
        <w:tc>
          <w:tcPr>
            <w:tcW w:w="1293" w:type="pct"/>
          </w:tcPr>
          <w:p w:rsidR="00001A85" w:rsidRPr="00E55B49" w:rsidRDefault="00001A85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>- List of students who did not respond to initial text</w:t>
            </w:r>
          </w:p>
        </w:tc>
      </w:tr>
      <w:tr w:rsidR="00001A85" w:rsidRPr="00E55B49" w:rsidTr="008B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Outbound Call</w:t>
            </w:r>
          </w:p>
          <w:p w:rsidR="00001A85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Pr="00DA136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Attempt)</w:t>
            </w:r>
          </w:p>
          <w:p w:rsidR="00001A85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Weeks </w:t>
            </w:r>
          </w:p>
          <w:p w:rsidR="00001A85" w:rsidRPr="00E55B49" w:rsidRDefault="00001A85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Post-1</w:t>
            </w:r>
            <w:r w:rsidRPr="00E55B4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Text</w:t>
            </w:r>
          </w:p>
        </w:tc>
        <w:tc>
          <w:tcPr>
            <w:tcW w:w="579" w:type="pct"/>
          </w:tcPr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 xml:space="preserve">- Guidance on how to connect </w:t>
            </w:r>
            <w:r>
              <w:rPr>
                <w:sz w:val="20"/>
                <w:szCs w:val="20"/>
              </w:rPr>
              <w:t>w/</w:t>
            </w:r>
            <w:r w:rsidRPr="00E55B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2414" w:type="pct"/>
          </w:tcPr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Direct students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institutional 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>contact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 xml:space="preserve"> for assistance with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reenrollment 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>process</w:t>
            </w:r>
          </w:p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3" w:type="pct"/>
          </w:tcPr>
          <w:p w:rsidR="00001A85" w:rsidRPr="00E55B49" w:rsidRDefault="00001A85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- List of students who did not respond to initial text </w:t>
            </w:r>
          </w:p>
        </w:tc>
      </w:tr>
    </w:tbl>
    <w:p w:rsidR="00694168" w:rsidRPr="003D3942" w:rsidRDefault="00694168" w:rsidP="00001A85">
      <w:pPr>
        <w:ind w:right="540"/>
        <w:rPr>
          <w:rStyle w:val="A0"/>
          <w:rFonts w:ascii="Arial" w:hAnsi="Arial" w:cs="Arial"/>
          <w:sz w:val="18"/>
          <w:szCs w:val="18"/>
        </w:rPr>
      </w:pPr>
    </w:p>
    <w:sectPr w:rsidR="00694168" w:rsidRPr="003D3942" w:rsidSect="00D54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5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E0" w:rsidRDefault="00AE3BE0" w:rsidP="00410D24">
      <w:pPr>
        <w:spacing w:after="0" w:line="240" w:lineRule="auto"/>
      </w:pPr>
      <w:r>
        <w:separator/>
      </w:r>
    </w:p>
  </w:endnote>
  <w:endnote w:type="continuationSeparator" w:id="0">
    <w:p w:rsidR="00AE3BE0" w:rsidRDefault="00AE3BE0" w:rsidP="0041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E0" w:rsidRDefault="00AE3BE0" w:rsidP="00410D24">
      <w:pPr>
        <w:spacing w:after="0" w:line="240" w:lineRule="auto"/>
      </w:pPr>
      <w:r>
        <w:separator/>
      </w:r>
    </w:p>
  </w:footnote>
  <w:footnote w:type="continuationSeparator" w:id="0">
    <w:p w:rsidR="00AE3BE0" w:rsidRDefault="00AE3BE0" w:rsidP="0041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64F" w:rsidRPr="004C723D" w:rsidRDefault="00E7289B" w:rsidP="002F3FB6">
    <w:pPr>
      <w:pStyle w:val="Header"/>
      <w:tabs>
        <w:tab w:val="clear" w:pos="4680"/>
        <w:tab w:val="clear" w:pos="9360"/>
        <w:tab w:val="right" w:pos="10260"/>
      </w:tabs>
      <w:ind w:left="-1080" w:right="-270"/>
      <w:rPr>
        <w:rFonts w:ascii="Arial" w:hAnsi="Arial" w:cs="Arial"/>
      </w:rPr>
    </w:pPr>
    <w:r>
      <w:rPr>
        <w:noProof/>
      </w:rPr>
      <w:drawing>
        <wp:inline distT="0" distB="0" distL="0" distR="0" wp14:anchorId="04D3B383" wp14:editId="489A6522">
          <wp:extent cx="2057400" cy="666750"/>
          <wp:effectExtent l="0" t="0" r="0" b="0"/>
          <wp:docPr id="3" name="Picture 3" descr="M:\__Active Jobs\Trellis Company\_Trellis Company Logo\Formats\Trellis Company-R-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__Active Jobs\Trellis Company\_Trellis Company Logo\Formats\Trellis Company-R-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64F" w:rsidRPr="004C723D">
      <w:rPr>
        <w:rStyle w:val="A2"/>
        <w:rFonts w:ascii="Helvetica LT Std" w:hAnsi="Helvetica LT Std"/>
      </w:rPr>
      <w:tab/>
    </w:r>
    <w:r w:rsidR="0071564F" w:rsidRPr="0042790A">
      <w:rPr>
        <w:rStyle w:val="A2"/>
        <w:rFonts w:ascii="Arial" w:hAnsi="Arial" w:cs="Arial"/>
        <w:color w:val="2F5496" w:themeColor="accent1" w:themeShade="BF"/>
      </w:rPr>
      <w:t>PO Box 83100 Round Rock, Texas 78683-3100   |   800-2</w:t>
    </w:r>
    <w:r w:rsidR="005D5D65">
      <w:rPr>
        <w:rStyle w:val="A2"/>
        <w:rFonts w:ascii="Arial" w:hAnsi="Arial" w:cs="Arial"/>
        <w:color w:val="2F5496" w:themeColor="accent1" w:themeShade="BF"/>
      </w:rPr>
      <w:t>5</w:t>
    </w:r>
    <w:r w:rsidR="0071564F" w:rsidRPr="0042790A">
      <w:rPr>
        <w:rStyle w:val="A2"/>
        <w:rFonts w:ascii="Arial" w:hAnsi="Arial" w:cs="Arial"/>
        <w:color w:val="2F5496" w:themeColor="accent1" w:themeShade="BF"/>
      </w:rPr>
      <w:t>2-</w:t>
    </w:r>
    <w:r w:rsidR="000419E2">
      <w:rPr>
        <w:rStyle w:val="A2"/>
        <w:rFonts w:ascii="Arial" w:hAnsi="Arial" w:cs="Arial"/>
        <w:color w:val="2F5496" w:themeColor="accent1" w:themeShade="BF"/>
      </w:rPr>
      <w:t>9743</w:t>
    </w:r>
    <w:r w:rsidR="0071564F" w:rsidRPr="0042790A">
      <w:rPr>
        <w:rStyle w:val="A2"/>
        <w:rFonts w:ascii="Arial" w:hAnsi="Arial" w:cs="Arial"/>
        <w:color w:val="2F5496" w:themeColor="accent1" w:themeShade="BF"/>
      </w:rPr>
      <w:t xml:space="preserve">   |   512-219-</w:t>
    </w:r>
    <w:r w:rsidR="000419E2">
      <w:rPr>
        <w:rStyle w:val="A2"/>
        <w:rFonts w:ascii="Arial" w:hAnsi="Arial" w:cs="Arial"/>
        <w:color w:val="2F5496" w:themeColor="accent1" w:themeShade="BF"/>
      </w:rPr>
      <w:t>5700</w:t>
    </w:r>
    <w:r w:rsidR="0071564F" w:rsidRPr="0042790A">
      <w:rPr>
        <w:rStyle w:val="A2"/>
        <w:rFonts w:ascii="Arial" w:hAnsi="Arial" w:cs="Arial"/>
        <w:color w:val="2F5496" w:themeColor="accent1" w:themeShade="BF"/>
      </w:rPr>
      <w:t xml:space="preserve">   |   www.</w:t>
    </w:r>
    <w:r w:rsidR="004C723D" w:rsidRPr="0042790A">
      <w:rPr>
        <w:rStyle w:val="A2"/>
        <w:rFonts w:ascii="Arial" w:hAnsi="Arial" w:cs="Arial"/>
        <w:color w:val="2F5496" w:themeColor="accent1" w:themeShade="BF"/>
      </w:rPr>
      <w:t>trelliscompany</w:t>
    </w:r>
    <w:r w:rsidR="0071564F" w:rsidRPr="0042790A">
      <w:rPr>
        <w:rStyle w:val="A2"/>
        <w:rFonts w:ascii="Arial" w:hAnsi="Arial" w:cs="Arial"/>
        <w:color w:val="2F5496" w:themeColor="accent1" w:themeShade="BF"/>
      </w:rPr>
      <w:t>.or</w:t>
    </w:r>
    <w:r w:rsidR="0071564F" w:rsidRPr="004C723D">
      <w:rPr>
        <w:rStyle w:val="A2"/>
        <w:rFonts w:ascii="Arial" w:hAnsi="Arial" w:cs="Arial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3C7"/>
    <w:multiLevelType w:val="hybridMultilevel"/>
    <w:tmpl w:val="6E4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A72CA"/>
    <w:multiLevelType w:val="hybridMultilevel"/>
    <w:tmpl w:val="F64A1152"/>
    <w:lvl w:ilvl="0" w:tplc="E5E40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24"/>
    <w:rsid w:val="00001A85"/>
    <w:rsid w:val="0002526C"/>
    <w:rsid w:val="000419E2"/>
    <w:rsid w:val="00063A24"/>
    <w:rsid w:val="00090CC6"/>
    <w:rsid w:val="00094F68"/>
    <w:rsid w:val="000C6136"/>
    <w:rsid w:val="000D44F7"/>
    <w:rsid w:val="000E128D"/>
    <w:rsid w:val="00117E1E"/>
    <w:rsid w:val="00141EF8"/>
    <w:rsid w:val="00177657"/>
    <w:rsid w:val="00183A1E"/>
    <w:rsid w:val="00193981"/>
    <w:rsid w:val="00195D0B"/>
    <w:rsid w:val="001A35D6"/>
    <w:rsid w:val="001A60B1"/>
    <w:rsid w:val="001C5ED9"/>
    <w:rsid w:val="002227E5"/>
    <w:rsid w:val="00242EAF"/>
    <w:rsid w:val="0027558A"/>
    <w:rsid w:val="002F3FB6"/>
    <w:rsid w:val="00325435"/>
    <w:rsid w:val="00342481"/>
    <w:rsid w:val="0037016C"/>
    <w:rsid w:val="003817EA"/>
    <w:rsid w:val="00385A4A"/>
    <w:rsid w:val="003C3CB3"/>
    <w:rsid w:val="003D3942"/>
    <w:rsid w:val="00410D24"/>
    <w:rsid w:val="004206B2"/>
    <w:rsid w:val="0042790A"/>
    <w:rsid w:val="004426A5"/>
    <w:rsid w:val="00487BBC"/>
    <w:rsid w:val="00490563"/>
    <w:rsid w:val="00494B8B"/>
    <w:rsid w:val="004C723D"/>
    <w:rsid w:val="004E35E5"/>
    <w:rsid w:val="004E3BB6"/>
    <w:rsid w:val="004F35C9"/>
    <w:rsid w:val="00574984"/>
    <w:rsid w:val="00577A1B"/>
    <w:rsid w:val="00581614"/>
    <w:rsid w:val="00581798"/>
    <w:rsid w:val="005D5D65"/>
    <w:rsid w:val="00600A01"/>
    <w:rsid w:val="00622827"/>
    <w:rsid w:val="006305FF"/>
    <w:rsid w:val="00694168"/>
    <w:rsid w:val="006C3983"/>
    <w:rsid w:val="006D3E42"/>
    <w:rsid w:val="006D79DD"/>
    <w:rsid w:val="006F4826"/>
    <w:rsid w:val="0070464B"/>
    <w:rsid w:val="0071564F"/>
    <w:rsid w:val="00777DE2"/>
    <w:rsid w:val="007A5486"/>
    <w:rsid w:val="007E4C85"/>
    <w:rsid w:val="00830077"/>
    <w:rsid w:val="008613C3"/>
    <w:rsid w:val="00862EA6"/>
    <w:rsid w:val="00891FD4"/>
    <w:rsid w:val="008C46B8"/>
    <w:rsid w:val="008C77E2"/>
    <w:rsid w:val="008D52F2"/>
    <w:rsid w:val="00906369"/>
    <w:rsid w:val="0092729F"/>
    <w:rsid w:val="00960E74"/>
    <w:rsid w:val="009632E1"/>
    <w:rsid w:val="00973E2E"/>
    <w:rsid w:val="0098424E"/>
    <w:rsid w:val="009901DE"/>
    <w:rsid w:val="00996F04"/>
    <w:rsid w:val="009B5113"/>
    <w:rsid w:val="009D2E02"/>
    <w:rsid w:val="009E08EA"/>
    <w:rsid w:val="00A608CC"/>
    <w:rsid w:val="00A721EE"/>
    <w:rsid w:val="00A9470D"/>
    <w:rsid w:val="00AC5064"/>
    <w:rsid w:val="00AE3BE0"/>
    <w:rsid w:val="00AE6BC9"/>
    <w:rsid w:val="00AF44B9"/>
    <w:rsid w:val="00AF5896"/>
    <w:rsid w:val="00B06EF0"/>
    <w:rsid w:val="00B152A1"/>
    <w:rsid w:val="00B358F4"/>
    <w:rsid w:val="00B55850"/>
    <w:rsid w:val="00BE7814"/>
    <w:rsid w:val="00C2668D"/>
    <w:rsid w:val="00C417F5"/>
    <w:rsid w:val="00C64F76"/>
    <w:rsid w:val="00D245FF"/>
    <w:rsid w:val="00D54CEF"/>
    <w:rsid w:val="00D61D28"/>
    <w:rsid w:val="00D65648"/>
    <w:rsid w:val="00D82C0C"/>
    <w:rsid w:val="00D90037"/>
    <w:rsid w:val="00DA22FD"/>
    <w:rsid w:val="00DF7C0C"/>
    <w:rsid w:val="00E45BE1"/>
    <w:rsid w:val="00E53F8D"/>
    <w:rsid w:val="00E7210A"/>
    <w:rsid w:val="00E7289B"/>
    <w:rsid w:val="00E9694E"/>
    <w:rsid w:val="00EB6236"/>
    <w:rsid w:val="00EE67CA"/>
    <w:rsid w:val="00F0770D"/>
    <w:rsid w:val="00F3668D"/>
    <w:rsid w:val="00F55E99"/>
    <w:rsid w:val="00FA26CE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5954A-B04E-4EB2-A450-230C686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24"/>
  </w:style>
  <w:style w:type="paragraph" w:styleId="Footer">
    <w:name w:val="footer"/>
    <w:basedOn w:val="Normal"/>
    <w:link w:val="FooterChar"/>
    <w:uiPriority w:val="99"/>
    <w:unhideWhenUsed/>
    <w:rsid w:val="004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24"/>
  </w:style>
  <w:style w:type="paragraph" w:styleId="BalloonText">
    <w:name w:val="Balloon Text"/>
    <w:basedOn w:val="Normal"/>
    <w:link w:val="BalloonTextChar"/>
    <w:uiPriority w:val="99"/>
    <w:semiHidden/>
    <w:unhideWhenUsed/>
    <w:rsid w:val="0041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D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D2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410D24"/>
    <w:rPr>
      <w:rFonts w:cs="Myriad Pro"/>
      <w:color w:val="0078C1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B5585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55850"/>
    <w:rPr>
      <w:rFonts w:cs="Myriad Pro"/>
      <w:color w:val="706F72"/>
      <w:sz w:val="20"/>
      <w:szCs w:val="20"/>
    </w:rPr>
  </w:style>
  <w:style w:type="character" w:customStyle="1" w:styleId="A1">
    <w:name w:val="A1"/>
    <w:uiPriority w:val="99"/>
    <w:rsid w:val="00E7210A"/>
    <w:rPr>
      <w:rFonts w:cs="Myriad Pro Light"/>
      <w:color w:val="706F72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7210A"/>
    <w:pPr>
      <w:spacing w:line="241" w:lineRule="atLeast"/>
    </w:pPr>
    <w:rPr>
      <w:rFonts w:cs="Times New Roman"/>
      <w:color w:val="auto"/>
    </w:rPr>
  </w:style>
  <w:style w:type="paragraph" w:customStyle="1" w:styleId="Headline">
    <w:name w:val="Headline"/>
    <w:basedOn w:val="Normal"/>
    <w:link w:val="HeadlineChar"/>
    <w:qFormat/>
    <w:rsid w:val="004E3BB6"/>
    <w:pPr>
      <w:ind w:left="-360"/>
    </w:pPr>
    <w:rPr>
      <w:rFonts w:ascii="Helvetica LT Std" w:hAnsi="Helvetica LT Std" w:cs="Calibri"/>
      <w:color w:val="83A343"/>
      <w:sz w:val="28"/>
    </w:rPr>
  </w:style>
  <w:style w:type="paragraph" w:customStyle="1" w:styleId="introtext">
    <w:name w:val="intro text"/>
    <w:basedOn w:val="Normal"/>
    <w:link w:val="introtextChar"/>
    <w:qFormat/>
    <w:rsid w:val="004E3BB6"/>
    <w:pPr>
      <w:ind w:left="-360"/>
    </w:pPr>
    <w:rPr>
      <w:rFonts w:ascii="Helvetica LT Std" w:hAnsi="Helvetica LT Std" w:cs="Myriad Pro"/>
      <w:color w:val="706F72"/>
      <w:sz w:val="19"/>
      <w:szCs w:val="19"/>
    </w:rPr>
  </w:style>
  <w:style w:type="character" w:customStyle="1" w:styleId="HeadlineChar">
    <w:name w:val="Headline Char"/>
    <w:link w:val="Headline"/>
    <w:rsid w:val="004E3BB6"/>
    <w:rPr>
      <w:rFonts w:ascii="Helvetica LT Std" w:hAnsi="Helvetica LT Std" w:cs="Calibri"/>
      <w:color w:val="83A343"/>
      <w:sz w:val="28"/>
      <w:szCs w:val="22"/>
    </w:rPr>
  </w:style>
  <w:style w:type="paragraph" w:styleId="NoSpacing">
    <w:name w:val="No Spacing"/>
    <w:uiPriority w:val="1"/>
    <w:qFormat/>
    <w:rsid w:val="004E3BB6"/>
    <w:rPr>
      <w:sz w:val="22"/>
      <w:szCs w:val="22"/>
    </w:rPr>
  </w:style>
  <w:style w:type="character" w:customStyle="1" w:styleId="introtextChar">
    <w:name w:val="intro text Char"/>
    <w:link w:val="introtext"/>
    <w:rsid w:val="004E3BB6"/>
    <w:rPr>
      <w:rFonts w:ascii="Helvetica LT Std" w:hAnsi="Helvetica LT Std" w:cs="Myriad Pro"/>
      <w:color w:val="706F72"/>
      <w:sz w:val="19"/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2E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42E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5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E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3FB6"/>
    <w:rPr>
      <w:color w:val="808080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001A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tgrob</dc:creator>
  <cp:keywords/>
  <cp:lastModifiedBy>Martinez, Art</cp:lastModifiedBy>
  <cp:revision>2</cp:revision>
  <cp:lastPrinted>2017-10-24T21:01:00Z</cp:lastPrinted>
  <dcterms:created xsi:type="dcterms:W3CDTF">2018-06-14T19:13:00Z</dcterms:created>
  <dcterms:modified xsi:type="dcterms:W3CDTF">2018-06-14T19:13:00Z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35134380</vt:i4>
  </property>
  <property fmtid="{D5CDD505-2E9C-101B-9397-08002B2CF9AE}" pid="4" name="_EmailSubject">
    <vt:lpwstr>Letterhead / PPT</vt:lpwstr>
  </property>
  <property fmtid="{D5CDD505-2E9C-101B-9397-08002B2CF9AE}" pid="5" name="_AuthorEmail">
    <vt:lpwstr>Christopher.Beeler@tgslc.org</vt:lpwstr>
  </property>
  <property fmtid="{D5CDD505-2E9C-101B-9397-08002B2CF9AE}" pid="6" name="_AuthorEmailDisplayName">
    <vt:lpwstr>Beeler, Christopher</vt:lpwstr>
  </property>
  <property fmtid="{D5CDD505-2E9C-101B-9397-08002B2CF9AE}" pid="7" name="_ReviewingToolsShownOnce">
    <vt:lpwstr/>
  </property>
</Properties>
</file>