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04A0" w:rsidRDefault="00FD04A0" w:rsidP="00DB4E0D">
      <w:pPr>
        <w:rPr>
          <w:sz w:val="28"/>
        </w:rPr>
      </w:pPr>
    </w:p>
    <w:p w:rsidR="004C0535" w:rsidRPr="004C0535" w:rsidRDefault="004C0535" w:rsidP="004C0535">
      <w:pPr>
        <w:jc w:val="center"/>
        <w:rPr>
          <w:sz w:val="28"/>
        </w:rPr>
      </w:pPr>
      <w:bookmarkStart w:id="0" w:name="_GoBack"/>
      <w:r w:rsidRPr="004C0535">
        <w:rPr>
          <w:sz w:val="28"/>
        </w:rPr>
        <w:t>Addressing the Financial Education Needs of Student Athletes</w:t>
      </w:r>
    </w:p>
    <w:bookmarkEnd w:id="0"/>
    <w:p w:rsidR="00FD04A0" w:rsidRDefault="004C0535" w:rsidP="004C0535">
      <w:r>
        <w:t>Student athletes are faced with a significant challenge that distinguishes them from m</w:t>
      </w:r>
      <w:r w:rsidR="00FD04A0">
        <w:t xml:space="preserve">ost of the student population: </w:t>
      </w:r>
    </w:p>
    <w:p w:rsidR="00FD04A0" w:rsidRDefault="00FD04A0" w:rsidP="00FD04A0">
      <w:pPr>
        <w:pStyle w:val="ListParagraph"/>
        <w:numPr>
          <w:ilvl w:val="0"/>
          <w:numId w:val="6"/>
        </w:numPr>
      </w:pPr>
      <w:r>
        <w:t>W</w:t>
      </w:r>
      <w:r w:rsidR="004C0535">
        <w:t xml:space="preserve">hile the National Center for Education Statistics </w:t>
      </w:r>
      <w:hyperlink r:id="rId7" w:history="1">
        <w:r w:rsidR="004C0535">
          <w:rPr>
            <w:rStyle w:val="Hyperlink"/>
          </w:rPr>
          <w:t>reports</w:t>
        </w:r>
      </w:hyperlink>
      <w:r w:rsidR="004C0535">
        <w:t xml:space="preserve"> that 43% of full-time undergraduate students are employed and 78% of part-time undergraduates are employed (2015), it can be very difficult for student athletes to attend school fulltime, attend practices, workouts a</w:t>
      </w:r>
      <w:r>
        <w:t>nd events, and still work.</w:t>
      </w:r>
    </w:p>
    <w:p w:rsidR="004C0535" w:rsidRDefault="00FD04A0" w:rsidP="00FD04A0">
      <w:pPr>
        <w:pStyle w:val="ListParagraph"/>
        <w:numPr>
          <w:ilvl w:val="0"/>
          <w:numId w:val="6"/>
        </w:numPr>
      </w:pPr>
      <w:r>
        <w:t>F</w:t>
      </w:r>
      <w:r w:rsidR="004C0535">
        <w:t xml:space="preserve">or many students, being able to work means the difference in completing a college degree, or stopping out due to financial and/or academic concerns. </w:t>
      </w:r>
    </w:p>
    <w:p w:rsidR="004C0535" w:rsidRDefault="004C0535" w:rsidP="004C0535">
      <w:r>
        <w:t>Financial education around these concerns can help students make informed decisions about managing their limited income while in college, finding outside funding sourc</w:t>
      </w:r>
      <w:r w:rsidR="00DC24EE">
        <w:t>es, and considering the wide-ranging</w:t>
      </w:r>
      <w:r>
        <w:t xml:space="preserve"> consequences of leaving school before completion. Trellis can facilitate this effort through multiple financial education pathways:</w:t>
      </w:r>
    </w:p>
    <w:p w:rsidR="004C0535" w:rsidRDefault="004C0535" w:rsidP="004C0535">
      <w:pPr>
        <w:pStyle w:val="ListParagraph"/>
        <w:numPr>
          <w:ilvl w:val="0"/>
          <w:numId w:val="5"/>
        </w:numPr>
      </w:pPr>
      <w:r>
        <w:t>iGrad offers online, on demand, financial education to your students in a variety of media:</w:t>
      </w:r>
    </w:p>
    <w:p w:rsidR="004C0535" w:rsidRDefault="00356370" w:rsidP="004C0535">
      <w:pPr>
        <w:pStyle w:val="ListParagraph"/>
        <w:numPr>
          <w:ilvl w:val="1"/>
          <w:numId w:val="5"/>
        </w:numPr>
      </w:pPr>
      <w:hyperlink r:id="rId8" w:history="1">
        <w:r w:rsidR="004C0535">
          <w:rPr>
            <w:rStyle w:val="Hyperlink"/>
          </w:rPr>
          <w:t>Courses</w:t>
        </w:r>
      </w:hyperlink>
      <w:r w:rsidR="004C0535">
        <w:t xml:space="preserve"> are short, interactive modules that include quizzes and a certificate of completion. We recommend </w:t>
      </w:r>
      <w:proofErr w:type="gramStart"/>
      <w:r w:rsidR="004C0535">
        <w:t>in particular the</w:t>
      </w:r>
      <w:proofErr w:type="gramEnd"/>
      <w:r w:rsidR="004C0535">
        <w:t xml:space="preserve"> courses titled “Assessing your financial health” and “Spending smart and creating a budget”</w:t>
      </w:r>
    </w:p>
    <w:p w:rsidR="004C0535" w:rsidRDefault="004C0535" w:rsidP="004C0535">
      <w:pPr>
        <w:pStyle w:val="ListParagraph"/>
        <w:numPr>
          <w:ilvl w:val="1"/>
          <w:numId w:val="5"/>
        </w:numPr>
      </w:pPr>
      <w:r>
        <w:t xml:space="preserve">Articles: </w:t>
      </w:r>
    </w:p>
    <w:p w:rsidR="00CD043C" w:rsidRDefault="00356370" w:rsidP="004C0535">
      <w:pPr>
        <w:pStyle w:val="ListParagraph"/>
        <w:numPr>
          <w:ilvl w:val="2"/>
          <w:numId w:val="5"/>
        </w:numPr>
      </w:pPr>
      <w:hyperlink r:id="rId9" w:history="1">
        <w:r w:rsidR="00CD043C">
          <w:rPr>
            <w:rStyle w:val="Hyperlink"/>
          </w:rPr>
          <w:t>6 Ways College Athletes Can Win the Game of Personal Finance</w:t>
        </w:r>
      </w:hyperlink>
      <w:r w:rsidR="00CD043C">
        <w:t xml:space="preserve">” </w:t>
      </w:r>
    </w:p>
    <w:p w:rsidR="004C0535" w:rsidRDefault="004C0535" w:rsidP="00CD043C">
      <w:pPr>
        <w:pStyle w:val="ListParagraph"/>
        <w:numPr>
          <w:ilvl w:val="2"/>
          <w:numId w:val="5"/>
        </w:numPr>
      </w:pPr>
      <w:r>
        <w:t>“</w:t>
      </w:r>
      <w:hyperlink r:id="rId10" w:history="1">
        <w:r>
          <w:rPr>
            <w:rStyle w:val="Hyperlink"/>
          </w:rPr>
          <w:t>Go Big or Go Home: What We Can Learn From the Financial Challenges of Professional Athletes</w:t>
        </w:r>
      </w:hyperlink>
      <w:r>
        <w:t>,”</w:t>
      </w:r>
    </w:p>
    <w:p w:rsidR="004C0535" w:rsidRDefault="004C0535" w:rsidP="004C0535">
      <w:pPr>
        <w:pStyle w:val="ListParagraph"/>
        <w:numPr>
          <w:ilvl w:val="1"/>
          <w:numId w:val="5"/>
        </w:numPr>
      </w:pPr>
      <w:r>
        <w:t xml:space="preserve">Other tools: </w:t>
      </w:r>
    </w:p>
    <w:p w:rsidR="004C0535" w:rsidRPr="004C0535" w:rsidRDefault="00356370" w:rsidP="004C0535">
      <w:pPr>
        <w:pStyle w:val="ListParagraph"/>
        <w:numPr>
          <w:ilvl w:val="2"/>
          <w:numId w:val="5"/>
        </w:numPr>
      </w:pPr>
      <w:hyperlink r:id="rId11" w:history="1">
        <w:r w:rsidR="004C0535" w:rsidRPr="004C0535">
          <w:rPr>
            <w:rStyle w:val="Hyperlink"/>
            <w:rFonts w:eastAsia="Times New Roman"/>
          </w:rPr>
          <w:t>Scholarship Search</w:t>
        </w:r>
      </w:hyperlink>
      <w:r w:rsidR="004C0535">
        <w:rPr>
          <w:rFonts w:eastAsia="Times New Roman"/>
        </w:rPr>
        <w:t>: can be customized to include institutional and local scholarships</w:t>
      </w:r>
    </w:p>
    <w:p w:rsidR="004C0535" w:rsidRPr="004C0535" w:rsidRDefault="00356370" w:rsidP="004C0535">
      <w:pPr>
        <w:pStyle w:val="ListParagraph"/>
        <w:numPr>
          <w:ilvl w:val="2"/>
          <w:numId w:val="5"/>
        </w:numPr>
      </w:pPr>
      <w:hyperlink r:id="rId12" w:history="1">
        <w:r w:rsidR="004C0535" w:rsidRPr="004C0535">
          <w:rPr>
            <w:rStyle w:val="Hyperlink"/>
            <w:rFonts w:eastAsia="Times New Roman"/>
          </w:rPr>
          <w:t>Financial Football</w:t>
        </w:r>
      </w:hyperlink>
      <w:r w:rsidR="004C0535">
        <w:rPr>
          <w:rFonts w:eastAsia="Times New Roman"/>
        </w:rPr>
        <w:t>: an online football game that tests players’ financial knowledge</w:t>
      </w:r>
    </w:p>
    <w:p w:rsidR="004C0535" w:rsidRPr="00DB4E0D" w:rsidRDefault="004C0535" w:rsidP="004C0535">
      <w:pPr>
        <w:pStyle w:val="ListParagraph"/>
        <w:numPr>
          <w:ilvl w:val="2"/>
          <w:numId w:val="5"/>
        </w:numPr>
      </w:pPr>
      <w:r w:rsidRPr="004C0535">
        <w:rPr>
          <w:rFonts w:eastAsia="Times New Roman"/>
        </w:rPr>
        <w:t xml:space="preserve">Create </w:t>
      </w:r>
      <w:hyperlink r:id="rId13" w:history="1">
        <w:r w:rsidRPr="004C0535">
          <w:rPr>
            <w:rStyle w:val="Hyperlink"/>
            <w:rFonts w:eastAsia="Times New Roman"/>
          </w:rPr>
          <w:t>Your Budget</w:t>
        </w:r>
      </w:hyperlink>
      <w:r>
        <w:rPr>
          <w:rFonts w:eastAsia="Times New Roman"/>
        </w:rPr>
        <w:t>: a spending planner specifically for college students</w:t>
      </w:r>
    </w:p>
    <w:p w:rsidR="00DB4E0D" w:rsidRPr="004C0535" w:rsidRDefault="00DB4E0D" w:rsidP="00DB4E0D">
      <w:pPr>
        <w:pStyle w:val="ListParagraph"/>
        <w:ind w:left="2160"/>
      </w:pPr>
    </w:p>
    <w:p w:rsidR="004C0535" w:rsidRDefault="004C0535" w:rsidP="004C0535">
      <w:pPr>
        <w:pStyle w:val="ListParagraph"/>
        <w:numPr>
          <w:ilvl w:val="0"/>
          <w:numId w:val="5"/>
        </w:numPr>
      </w:pPr>
      <w:r>
        <w:t>aie.org, Trellis Company’s financial awareness site that guides students and parents through the college experience, beginning in high school through life after college:</w:t>
      </w:r>
    </w:p>
    <w:p w:rsidR="004C0535" w:rsidRPr="004C0535" w:rsidRDefault="004C0535" w:rsidP="004C0535">
      <w:pPr>
        <w:pStyle w:val="ListParagraph"/>
        <w:numPr>
          <w:ilvl w:val="1"/>
          <w:numId w:val="5"/>
        </w:numPr>
      </w:pPr>
      <w:r w:rsidRPr="004C0535">
        <w:rPr>
          <w:rFonts w:eastAsia="Times New Roman"/>
        </w:rPr>
        <w:t>“</w:t>
      </w:r>
      <w:hyperlink r:id="rId14" w:history="1">
        <w:r w:rsidRPr="004C0535">
          <w:rPr>
            <w:rStyle w:val="Hyperlink"/>
            <w:rFonts w:eastAsia="Times New Roman"/>
          </w:rPr>
          <w:t>Things to Consider Before Dropping a Class</w:t>
        </w:r>
      </w:hyperlink>
      <w:r w:rsidRPr="004C0535">
        <w:rPr>
          <w:rFonts w:eastAsia="Times New Roman"/>
        </w:rPr>
        <w:t>”</w:t>
      </w:r>
    </w:p>
    <w:p w:rsidR="004C0535" w:rsidRPr="004C0535" w:rsidRDefault="004C0535" w:rsidP="004C0535">
      <w:pPr>
        <w:pStyle w:val="ListParagraph"/>
        <w:numPr>
          <w:ilvl w:val="1"/>
          <w:numId w:val="5"/>
        </w:numPr>
      </w:pPr>
      <w:r w:rsidRPr="004C0535">
        <w:rPr>
          <w:rFonts w:eastAsia="Times New Roman"/>
        </w:rPr>
        <w:t>What happens when you stop out? “</w:t>
      </w:r>
      <w:hyperlink r:id="rId15" w:history="1">
        <w:r w:rsidRPr="004C0535">
          <w:rPr>
            <w:rStyle w:val="Hyperlink"/>
            <w:rFonts w:eastAsia="Times New Roman"/>
          </w:rPr>
          <w:t>Stopping Out For Just One Semester</w:t>
        </w:r>
      </w:hyperlink>
      <w:r w:rsidRPr="004C0535">
        <w:rPr>
          <w:rFonts w:eastAsia="Times New Roman"/>
        </w:rPr>
        <w:t>”</w:t>
      </w:r>
    </w:p>
    <w:p w:rsidR="004C0535" w:rsidRPr="00FD04A0" w:rsidRDefault="004C0535" w:rsidP="004C0535">
      <w:pPr>
        <w:pStyle w:val="ListParagraph"/>
        <w:numPr>
          <w:ilvl w:val="1"/>
          <w:numId w:val="5"/>
        </w:numPr>
      </w:pPr>
      <w:r w:rsidRPr="004C0535">
        <w:rPr>
          <w:rFonts w:eastAsia="Times New Roman"/>
        </w:rPr>
        <w:t>“</w:t>
      </w:r>
      <w:hyperlink r:id="rId16" w:history="1">
        <w:r w:rsidRPr="004C0535">
          <w:rPr>
            <w:rStyle w:val="Hyperlink"/>
            <w:rFonts w:eastAsia="Times New Roman"/>
          </w:rPr>
          <w:t>Keep Your Career in Mind</w:t>
        </w:r>
      </w:hyperlink>
      <w:r w:rsidRPr="004C0535">
        <w:rPr>
          <w:rFonts w:eastAsia="Times New Roman"/>
        </w:rPr>
        <w:t>”</w:t>
      </w:r>
    </w:p>
    <w:p w:rsidR="00FD04A0" w:rsidRDefault="00FD04A0" w:rsidP="00FD04A0">
      <w:pPr>
        <w:pStyle w:val="ListParagraph"/>
        <w:ind w:left="1440"/>
        <w:rPr>
          <w:rFonts w:eastAsia="Times New Roman"/>
        </w:rPr>
      </w:pPr>
    </w:p>
    <w:p w:rsidR="00FD04A0" w:rsidRDefault="00FD04A0" w:rsidP="00FD04A0">
      <w:pPr>
        <w:pStyle w:val="ListParagraph"/>
        <w:ind w:left="1440"/>
        <w:rPr>
          <w:rFonts w:eastAsia="Times New Roman"/>
        </w:rPr>
      </w:pPr>
    </w:p>
    <w:p w:rsidR="00FD04A0" w:rsidRDefault="00FD04A0" w:rsidP="00FD04A0">
      <w:pPr>
        <w:pStyle w:val="ListParagraph"/>
        <w:ind w:left="1440"/>
        <w:rPr>
          <w:rFonts w:eastAsia="Times New Roman"/>
        </w:rPr>
      </w:pPr>
    </w:p>
    <w:p w:rsidR="00FD04A0" w:rsidRDefault="00FD04A0" w:rsidP="00FD04A0">
      <w:pPr>
        <w:pStyle w:val="ListParagraph"/>
        <w:ind w:left="1440"/>
        <w:rPr>
          <w:rFonts w:eastAsia="Times New Roman"/>
        </w:rPr>
      </w:pPr>
    </w:p>
    <w:p w:rsidR="00FD04A0" w:rsidRDefault="00FD04A0" w:rsidP="00FD04A0">
      <w:pPr>
        <w:pStyle w:val="ListParagraph"/>
        <w:ind w:left="1440"/>
        <w:rPr>
          <w:rFonts w:eastAsia="Times New Roman"/>
        </w:rPr>
      </w:pPr>
    </w:p>
    <w:p w:rsidR="00FD04A0" w:rsidRPr="004C0535" w:rsidRDefault="00FD04A0" w:rsidP="00FD04A0">
      <w:pPr>
        <w:pStyle w:val="ListParagraph"/>
        <w:ind w:left="1440"/>
      </w:pPr>
    </w:p>
    <w:p w:rsidR="00DB4E0D" w:rsidRDefault="00DB4E0D" w:rsidP="009D3ECA">
      <w:pPr>
        <w:rPr>
          <w:rFonts w:eastAsia="Times New Roman"/>
        </w:rPr>
      </w:pPr>
    </w:p>
    <w:p w:rsidR="004C0535" w:rsidRDefault="004C0535" w:rsidP="00FD04A0">
      <w:pPr>
        <w:pStyle w:val="ListParagraph"/>
        <w:numPr>
          <w:ilvl w:val="0"/>
          <w:numId w:val="7"/>
        </w:numPr>
      </w:pPr>
      <w:r w:rsidRPr="00FD04A0">
        <w:rPr>
          <w:rFonts w:eastAsia="Times New Roman"/>
        </w:rPr>
        <w:t xml:space="preserve">Trellis’ </w:t>
      </w:r>
      <w:r>
        <w:t xml:space="preserve">in-person student financial education </w:t>
      </w:r>
      <w:hyperlink r:id="rId17" w:history="1">
        <w:r w:rsidRPr="000523D0">
          <w:rPr>
            <w:rStyle w:val="Hyperlink"/>
          </w:rPr>
          <w:t>modules</w:t>
        </w:r>
      </w:hyperlink>
      <w:r>
        <w:t xml:space="preserve">: </w:t>
      </w:r>
    </w:p>
    <w:p w:rsidR="004C0535" w:rsidRDefault="00CD043C" w:rsidP="000523D0">
      <w:pPr>
        <w:pStyle w:val="ListParagraph"/>
        <w:numPr>
          <w:ilvl w:val="1"/>
          <w:numId w:val="5"/>
        </w:numPr>
      </w:pPr>
      <w:r>
        <w:t>“</w:t>
      </w:r>
      <w:r w:rsidR="004C0535">
        <w:t>Plan and Spend</w:t>
      </w:r>
      <w:r>
        <w:t>”</w:t>
      </w:r>
      <w:r w:rsidR="000523D0">
        <w:t>: students learn m</w:t>
      </w:r>
      <w:r w:rsidR="000523D0" w:rsidRPr="000523D0">
        <w:t>oney management basics</w:t>
      </w:r>
      <w:r w:rsidR="000523D0">
        <w:t xml:space="preserve">, including </w:t>
      </w:r>
      <w:r w:rsidR="000523D0" w:rsidRPr="000523D0">
        <w:t xml:space="preserve">understanding needs and wants, creating spending plans and cash flow statements, </w:t>
      </w:r>
      <w:r w:rsidR="000523D0">
        <w:t>and methods of tracking</w:t>
      </w:r>
      <w:r w:rsidR="000523D0" w:rsidRPr="000523D0">
        <w:t xml:space="preserve"> money.</w:t>
      </w:r>
    </w:p>
    <w:p w:rsidR="004C0535" w:rsidRDefault="00CD043C" w:rsidP="000523D0">
      <w:pPr>
        <w:pStyle w:val="ListParagraph"/>
        <w:numPr>
          <w:ilvl w:val="1"/>
          <w:numId w:val="5"/>
        </w:numPr>
      </w:pPr>
      <w:r>
        <w:t>“</w:t>
      </w:r>
      <w:r w:rsidR="004C0535">
        <w:t>Borrow Smart</w:t>
      </w:r>
      <w:r>
        <w:t>”</w:t>
      </w:r>
      <w:r w:rsidR="000523D0">
        <w:t>: covers how u</w:t>
      </w:r>
      <w:r w:rsidR="000523D0" w:rsidRPr="000523D0">
        <w:t>ninformed credit decisions can have lasting eff</w:t>
      </w:r>
      <w:r w:rsidR="000523D0">
        <w:t xml:space="preserve">ects, as well as </w:t>
      </w:r>
      <w:r w:rsidR="000523D0" w:rsidRPr="000523D0">
        <w:t xml:space="preserve">types of credit, interest rates, credit reports and scores, kinds of credit to avoid, </w:t>
      </w:r>
      <w:r w:rsidR="000523D0">
        <w:t xml:space="preserve">and </w:t>
      </w:r>
      <w:r w:rsidR="000523D0" w:rsidRPr="000523D0">
        <w:t>how to resolve serious debt problems.</w:t>
      </w:r>
    </w:p>
    <w:p w:rsidR="000523D0" w:rsidRDefault="000523D0" w:rsidP="004C0535">
      <w:pPr>
        <w:pStyle w:val="ListParagraph"/>
        <w:numPr>
          <w:ilvl w:val="1"/>
          <w:numId w:val="5"/>
        </w:numPr>
      </w:pPr>
      <w:r>
        <w:t xml:space="preserve">These modules and all accompanying materials may be downloaded </w:t>
      </w:r>
      <w:hyperlink r:id="rId18" w:history="1">
        <w:r w:rsidRPr="000523D0">
          <w:rPr>
            <w:rStyle w:val="Hyperlink"/>
          </w:rPr>
          <w:t>here</w:t>
        </w:r>
      </w:hyperlink>
      <w:r>
        <w:t>.</w:t>
      </w:r>
    </w:p>
    <w:p w:rsidR="00694168" w:rsidRPr="000523D0" w:rsidRDefault="004C0535" w:rsidP="000523D0">
      <w:pPr>
        <w:rPr>
          <w:rStyle w:val="A0"/>
          <w:rFonts w:cs="Times New Roman"/>
          <w:color w:val="auto"/>
          <w:sz w:val="22"/>
          <w:szCs w:val="22"/>
        </w:rPr>
      </w:pPr>
      <w:r>
        <w:t>These resources can be used in a variety of settings and frameworks, including in-class workshops, homework assignments/journal reflections, extra credit su</w:t>
      </w:r>
      <w:r w:rsidR="000523D0">
        <w:t>ggestions, and group activities. We recommend introducing fundamental topics (for example, the iGrad courses and Your Budget tool) early in a student’s academic career, and building upon that foundation in subsequent years through the integration of more advanced topics.</w:t>
      </w:r>
    </w:p>
    <w:sectPr w:rsidR="00694168" w:rsidRPr="000523D0" w:rsidSect="00FD04A0">
      <w:headerReference w:type="default" r:id="rId19"/>
      <w:pgSz w:w="12240" w:h="15840"/>
      <w:pgMar w:top="1440" w:right="1080" w:bottom="1440" w:left="1080" w:header="36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3539" w:rsidRDefault="00C03539" w:rsidP="00410D24">
      <w:pPr>
        <w:spacing w:after="0" w:line="240" w:lineRule="auto"/>
      </w:pPr>
      <w:r>
        <w:separator/>
      </w:r>
    </w:p>
  </w:endnote>
  <w:endnote w:type="continuationSeparator" w:id="0">
    <w:p w:rsidR="00C03539" w:rsidRDefault="00C03539" w:rsidP="00410D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Segoe UI"/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Myriad Pro Light">
    <w:panose1 w:val="00000000000000000000"/>
    <w:charset w:val="00"/>
    <w:family w:val="swiss"/>
    <w:notTrueType/>
    <w:pitch w:val="variable"/>
    <w:sig w:usb0="A00002AF" w:usb1="5000204B" w:usb2="00000000" w:usb3="00000000" w:csb0="0000009F" w:csb1="00000000"/>
  </w:font>
  <w:font w:name="Helvetica LT Std">
    <w:altName w:val="Arial"/>
    <w:panose1 w:val="00000000000000000000"/>
    <w:charset w:val="00"/>
    <w:family w:val="swiss"/>
    <w:notTrueType/>
    <w:pitch w:val="variable"/>
    <w:sig w:usb0="800002AF" w:usb1="5000204A" w:usb2="00000000" w:usb3="00000000" w:csb0="00000005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3539" w:rsidRDefault="00C03539" w:rsidP="00410D24">
      <w:pPr>
        <w:spacing w:after="0" w:line="240" w:lineRule="auto"/>
      </w:pPr>
      <w:r>
        <w:separator/>
      </w:r>
    </w:p>
  </w:footnote>
  <w:footnote w:type="continuationSeparator" w:id="0">
    <w:p w:rsidR="00C03539" w:rsidRDefault="00C03539" w:rsidP="00410D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564F" w:rsidRPr="004C723D" w:rsidRDefault="00E7289B" w:rsidP="00ED52A2">
    <w:pPr>
      <w:pStyle w:val="Header"/>
      <w:tabs>
        <w:tab w:val="clear" w:pos="4680"/>
        <w:tab w:val="clear" w:pos="9360"/>
        <w:tab w:val="right" w:pos="10260"/>
      </w:tabs>
      <w:ind w:right="-270"/>
      <w:rPr>
        <w:rFonts w:ascii="Arial" w:hAnsi="Arial" w:cs="Arial"/>
      </w:rPr>
    </w:pPr>
    <w:r>
      <w:rPr>
        <w:noProof/>
      </w:rPr>
      <w:drawing>
        <wp:inline distT="0" distB="0" distL="0" distR="0" wp14:anchorId="04D3B383" wp14:editId="489A6522">
          <wp:extent cx="2057400" cy="666750"/>
          <wp:effectExtent l="0" t="0" r="0" b="0"/>
          <wp:docPr id="3" name="Picture 3" descr="M:\__Active Jobs\Trellis Company\_Trellis Company Logo\Formats\Trellis Company-R-H-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M:\__Active Jobs\Trellis Company\_Trellis Company Logo\Formats\Trellis Company-R-H-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1564F" w:rsidRPr="004C723D">
      <w:rPr>
        <w:rStyle w:val="A2"/>
        <w:rFonts w:ascii="Helvetica LT Std" w:hAnsi="Helvetica LT Std"/>
      </w:rPr>
      <w:tab/>
    </w:r>
    <w:r w:rsidR="0071564F" w:rsidRPr="0042790A">
      <w:rPr>
        <w:rStyle w:val="A2"/>
        <w:rFonts w:ascii="Arial" w:hAnsi="Arial" w:cs="Arial"/>
        <w:color w:val="2F5496" w:themeColor="accent1" w:themeShade="BF"/>
      </w:rPr>
      <w:t>PO Box 83100 Round Rock, Texas 78683-3100   |   800-2</w:t>
    </w:r>
    <w:r w:rsidR="005D5D65">
      <w:rPr>
        <w:rStyle w:val="A2"/>
        <w:rFonts w:ascii="Arial" w:hAnsi="Arial" w:cs="Arial"/>
        <w:color w:val="2F5496" w:themeColor="accent1" w:themeShade="BF"/>
      </w:rPr>
      <w:t>5</w:t>
    </w:r>
    <w:r w:rsidR="0071564F" w:rsidRPr="0042790A">
      <w:rPr>
        <w:rStyle w:val="A2"/>
        <w:rFonts w:ascii="Arial" w:hAnsi="Arial" w:cs="Arial"/>
        <w:color w:val="2F5496" w:themeColor="accent1" w:themeShade="BF"/>
      </w:rPr>
      <w:t>2-</w:t>
    </w:r>
    <w:r w:rsidR="000419E2">
      <w:rPr>
        <w:rStyle w:val="A2"/>
        <w:rFonts w:ascii="Arial" w:hAnsi="Arial" w:cs="Arial"/>
        <w:color w:val="2F5496" w:themeColor="accent1" w:themeShade="BF"/>
      </w:rPr>
      <w:t>9743</w:t>
    </w:r>
    <w:r w:rsidR="0071564F" w:rsidRPr="0042790A">
      <w:rPr>
        <w:rStyle w:val="A2"/>
        <w:rFonts w:ascii="Arial" w:hAnsi="Arial" w:cs="Arial"/>
        <w:color w:val="2F5496" w:themeColor="accent1" w:themeShade="BF"/>
      </w:rPr>
      <w:t xml:space="preserve">   |   512-219-</w:t>
    </w:r>
    <w:r w:rsidR="000419E2">
      <w:rPr>
        <w:rStyle w:val="A2"/>
        <w:rFonts w:ascii="Arial" w:hAnsi="Arial" w:cs="Arial"/>
        <w:color w:val="2F5496" w:themeColor="accent1" w:themeShade="BF"/>
      </w:rPr>
      <w:t>5700</w:t>
    </w:r>
    <w:r w:rsidR="0071564F" w:rsidRPr="0042790A">
      <w:rPr>
        <w:rStyle w:val="A2"/>
        <w:rFonts w:ascii="Arial" w:hAnsi="Arial" w:cs="Arial"/>
        <w:color w:val="2F5496" w:themeColor="accent1" w:themeShade="BF"/>
      </w:rPr>
      <w:t xml:space="preserve">   |   www.</w:t>
    </w:r>
    <w:r w:rsidR="004C723D" w:rsidRPr="0042790A">
      <w:rPr>
        <w:rStyle w:val="A2"/>
        <w:rFonts w:ascii="Arial" w:hAnsi="Arial" w:cs="Arial"/>
        <w:color w:val="2F5496" w:themeColor="accent1" w:themeShade="BF"/>
      </w:rPr>
      <w:t>trelliscompany</w:t>
    </w:r>
    <w:r w:rsidR="0071564F" w:rsidRPr="0042790A">
      <w:rPr>
        <w:rStyle w:val="A2"/>
        <w:rFonts w:ascii="Arial" w:hAnsi="Arial" w:cs="Arial"/>
        <w:color w:val="2F5496" w:themeColor="accent1" w:themeShade="BF"/>
      </w:rPr>
      <w:t>.or</w:t>
    </w:r>
    <w:r w:rsidR="0071564F" w:rsidRPr="004C723D">
      <w:rPr>
        <w:rStyle w:val="A2"/>
        <w:rFonts w:ascii="Arial" w:hAnsi="Arial" w:cs="Arial"/>
      </w:rPr>
      <w:t>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123C7"/>
    <w:multiLevelType w:val="hybridMultilevel"/>
    <w:tmpl w:val="6E4E3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D17BD"/>
    <w:multiLevelType w:val="hybridMultilevel"/>
    <w:tmpl w:val="E0B8AC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B4EF7"/>
    <w:multiLevelType w:val="hybridMultilevel"/>
    <w:tmpl w:val="2138C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F6D81"/>
    <w:multiLevelType w:val="hybridMultilevel"/>
    <w:tmpl w:val="7B0E61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647201"/>
    <w:multiLevelType w:val="hybridMultilevel"/>
    <w:tmpl w:val="A95A76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21015A9"/>
    <w:multiLevelType w:val="hybridMultilevel"/>
    <w:tmpl w:val="31C60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5A72CA"/>
    <w:multiLevelType w:val="hybridMultilevel"/>
    <w:tmpl w:val="F64A1152"/>
    <w:lvl w:ilvl="0" w:tplc="E5E4066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99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D24"/>
    <w:rsid w:val="0002526C"/>
    <w:rsid w:val="000419E2"/>
    <w:rsid w:val="000523D0"/>
    <w:rsid w:val="00063A24"/>
    <w:rsid w:val="00090CC6"/>
    <w:rsid w:val="00094F68"/>
    <w:rsid w:val="000C6136"/>
    <w:rsid w:val="000D44F7"/>
    <w:rsid w:val="000E128D"/>
    <w:rsid w:val="00117E1E"/>
    <w:rsid w:val="00141EF8"/>
    <w:rsid w:val="00177657"/>
    <w:rsid w:val="00183A1E"/>
    <w:rsid w:val="00195D0B"/>
    <w:rsid w:val="001A35D6"/>
    <w:rsid w:val="001A60B1"/>
    <w:rsid w:val="001C5ED9"/>
    <w:rsid w:val="002227E5"/>
    <w:rsid w:val="00242EAF"/>
    <w:rsid w:val="0027558A"/>
    <w:rsid w:val="002F3FB6"/>
    <w:rsid w:val="00325435"/>
    <w:rsid w:val="00342481"/>
    <w:rsid w:val="00356370"/>
    <w:rsid w:val="0037016C"/>
    <w:rsid w:val="003817EA"/>
    <w:rsid w:val="00385A4A"/>
    <w:rsid w:val="003C3CB3"/>
    <w:rsid w:val="003D3942"/>
    <w:rsid w:val="00410D24"/>
    <w:rsid w:val="004206B2"/>
    <w:rsid w:val="0042790A"/>
    <w:rsid w:val="004426A5"/>
    <w:rsid w:val="00487BBC"/>
    <w:rsid w:val="00490563"/>
    <w:rsid w:val="00494B8B"/>
    <w:rsid w:val="004C0535"/>
    <w:rsid w:val="004C723D"/>
    <w:rsid w:val="004E35E5"/>
    <w:rsid w:val="004E3BB6"/>
    <w:rsid w:val="004F35C9"/>
    <w:rsid w:val="00574984"/>
    <w:rsid w:val="00581614"/>
    <w:rsid w:val="00581798"/>
    <w:rsid w:val="005D5D65"/>
    <w:rsid w:val="00600A01"/>
    <w:rsid w:val="00622827"/>
    <w:rsid w:val="006305FF"/>
    <w:rsid w:val="00694168"/>
    <w:rsid w:val="006C3983"/>
    <w:rsid w:val="006D3E42"/>
    <w:rsid w:val="006D79DD"/>
    <w:rsid w:val="006F4826"/>
    <w:rsid w:val="0070464B"/>
    <w:rsid w:val="00704BA1"/>
    <w:rsid w:val="00712110"/>
    <w:rsid w:val="0071564F"/>
    <w:rsid w:val="00777DE2"/>
    <w:rsid w:val="007A5486"/>
    <w:rsid w:val="007E4C85"/>
    <w:rsid w:val="00830077"/>
    <w:rsid w:val="008613C3"/>
    <w:rsid w:val="00862EA6"/>
    <w:rsid w:val="00891FD4"/>
    <w:rsid w:val="008C46B8"/>
    <w:rsid w:val="008C77E2"/>
    <w:rsid w:val="008D52F2"/>
    <w:rsid w:val="00906369"/>
    <w:rsid w:val="0092729F"/>
    <w:rsid w:val="00960E74"/>
    <w:rsid w:val="009632E1"/>
    <w:rsid w:val="00973E2E"/>
    <w:rsid w:val="0098424E"/>
    <w:rsid w:val="009901DE"/>
    <w:rsid w:val="00996F04"/>
    <w:rsid w:val="009B5113"/>
    <w:rsid w:val="009D2E02"/>
    <w:rsid w:val="009D3ECA"/>
    <w:rsid w:val="009E08EA"/>
    <w:rsid w:val="00A608CC"/>
    <w:rsid w:val="00A721EE"/>
    <w:rsid w:val="00A9470D"/>
    <w:rsid w:val="00AC5064"/>
    <w:rsid w:val="00AE6BC9"/>
    <w:rsid w:val="00AF44B9"/>
    <w:rsid w:val="00AF5896"/>
    <w:rsid w:val="00B06EF0"/>
    <w:rsid w:val="00B152A1"/>
    <w:rsid w:val="00B358F4"/>
    <w:rsid w:val="00B55850"/>
    <w:rsid w:val="00BE7814"/>
    <w:rsid w:val="00C03539"/>
    <w:rsid w:val="00C2668D"/>
    <w:rsid w:val="00C417F5"/>
    <w:rsid w:val="00C64F76"/>
    <w:rsid w:val="00CD043C"/>
    <w:rsid w:val="00D245FF"/>
    <w:rsid w:val="00D54CEF"/>
    <w:rsid w:val="00D61D28"/>
    <w:rsid w:val="00D65648"/>
    <w:rsid w:val="00D82C0C"/>
    <w:rsid w:val="00D90037"/>
    <w:rsid w:val="00DA22FD"/>
    <w:rsid w:val="00DB4E0D"/>
    <w:rsid w:val="00DC24EE"/>
    <w:rsid w:val="00DF7C0C"/>
    <w:rsid w:val="00E45BE1"/>
    <w:rsid w:val="00E53F8D"/>
    <w:rsid w:val="00E7210A"/>
    <w:rsid w:val="00E7289B"/>
    <w:rsid w:val="00E9694E"/>
    <w:rsid w:val="00EB6236"/>
    <w:rsid w:val="00ED52A2"/>
    <w:rsid w:val="00EE67CA"/>
    <w:rsid w:val="00F0770D"/>
    <w:rsid w:val="00F3668D"/>
    <w:rsid w:val="00F55E99"/>
    <w:rsid w:val="00FA26CE"/>
    <w:rsid w:val="00FC1CD2"/>
    <w:rsid w:val="00FD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7EA5954A-B04E-4EB2-A450-230C686CE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729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0D24"/>
  </w:style>
  <w:style w:type="paragraph" w:styleId="Footer">
    <w:name w:val="footer"/>
    <w:basedOn w:val="Normal"/>
    <w:link w:val="FooterChar"/>
    <w:uiPriority w:val="99"/>
    <w:unhideWhenUsed/>
    <w:rsid w:val="00410D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0D24"/>
  </w:style>
  <w:style w:type="paragraph" w:styleId="BalloonText">
    <w:name w:val="Balloon Text"/>
    <w:basedOn w:val="Normal"/>
    <w:link w:val="BalloonTextChar"/>
    <w:uiPriority w:val="99"/>
    <w:semiHidden/>
    <w:unhideWhenUsed/>
    <w:rsid w:val="00410D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10D2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10D24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410D24"/>
    <w:rPr>
      <w:rFonts w:cs="Myriad Pro"/>
      <w:color w:val="0078C1"/>
      <w:sz w:val="14"/>
      <w:szCs w:val="14"/>
    </w:rPr>
  </w:style>
  <w:style w:type="paragraph" w:customStyle="1" w:styleId="Pa0">
    <w:name w:val="Pa0"/>
    <w:basedOn w:val="Default"/>
    <w:next w:val="Default"/>
    <w:uiPriority w:val="99"/>
    <w:rsid w:val="00B55850"/>
    <w:pPr>
      <w:spacing w:line="241" w:lineRule="atLeast"/>
    </w:pPr>
    <w:rPr>
      <w:rFonts w:cs="Times New Roman"/>
      <w:color w:val="auto"/>
    </w:rPr>
  </w:style>
  <w:style w:type="character" w:customStyle="1" w:styleId="A0">
    <w:name w:val="A0"/>
    <w:uiPriority w:val="99"/>
    <w:rsid w:val="00B55850"/>
    <w:rPr>
      <w:rFonts w:cs="Myriad Pro"/>
      <w:color w:val="706F72"/>
      <w:sz w:val="20"/>
      <w:szCs w:val="20"/>
    </w:rPr>
  </w:style>
  <w:style w:type="character" w:customStyle="1" w:styleId="A1">
    <w:name w:val="A1"/>
    <w:uiPriority w:val="99"/>
    <w:rsid w:val="00E7210A"/>
    <w:rPr>
      <w:rFonts w:cs="Myriad Pro Light"/>
      <w:color w:val="706F72"/>
      <w:sz w:val="28"/>
      <w:szCs w:val="28"/>
    </w:rPr>
  </w:style>
  <w:style w:type="paragraph" w:customStyle="1" w:styleId="Pa1">
    <w:name w:val="Pa1"/>
    <w:basedOn w:val="Default"/>
    <w:next w:val="Default"/>
    <w:uiPriority w:val="99"/>
    <w:rsid w:val="00E7210A"/>
    <w:pPr>
      <w:spacing w:line="241" w:lineRule="atLeast"/>
    </w:pPr>
    <w:rPr>
      <w:rFonts w:cs="Times New Roman"/>
      <w:color w:val="auto"/>
    </w:rPr>
  </w:style>
  <w:style w:type="paragraph" w:customStyle="1" w:styleId="Headline">
    <w:name w:val="Headline"/>
    <w:basedOn w:val="Normal"/>
    <w:link w:val="HeadlineChar"/>
    <w:qFormat/>
    <w:rsid w:val="004E3BB6"/>
    <w:pPr>
      <w:ind w:left="-360"/>
    </w:pPr>
    <w:rPr>
      <w:rFonts w:ascii="Helvetica LT Std" w:hAnsi="Helvetica LT Std" w:cs="Calibri"/>
      <w:color w:val="83A343"/>
      <w:sz w:val="28"/>
    </w:rPr>
  </w:style>
  <w:style w:type="paragraph" w:customStyle="1" w:styleId="introtext">
    <w:name w:val="intro text"/>
    <w:basedOn w:val="Normal"/>
    <w:link w:val="introtextChar"/>
    <w:qFormat/>
    <w:rsid w:val="004E3BB6"/>
    <w:pPr>
      <w:ind w:left="-360"/>
    </w:pPr>
    <w:rPr>
      <w:rFonts w:ascii="Helvetica LT Std" w:hAnsi="Helvetica LT Std" w:cs="Myriad Pro"/>
      <w:color w:val="706F72"/>
      <w:sz w:val="19"/>
      <w:szCs w:val="19"/>
    </w:rPr>
  </w:style>
  <w:style w:type="character" w:customStyle="1" w:styleId="HeadlineChar">
    <w:name w:val="Headline Char"/>
    <w:link w:val="Headline"/>
    <w:rsid w:val="004E3BB6"/>
    <w:rPr>
      <w:rFonts w:ascii="Helvetica LT Std" w:hAnsi="Helvetica LT Std" w:cs="Calibri"/>
      <w:color w:val="83A343"/>
      <w:sz w:val="28"/>
      <w:szCs w:val="22"/>
    </w:rPr>
  </w:style>
  <w:style w:type="paragraph" w:styleId="NoSpacing">
    <w:name w:val="No Spacing"/>
    <w:uiPriority w:val="1"/>
    <w:qFormat/>
    <w:rsid w:val="004E3BB6"/>
    <w:rPr>
      <w:sz w:val="22"/>
      <w:szCs w:val="22"/>
    </w:rPr>
  </w:style>
  <w:style w:type="character" w:customStyle="1" w:styleId="introtextChar">
    <w:name w:val="intro text Char"/>
    <w:link w:val="introtext"/>
    <w:rsid w:val="004E3BB6"/>
    <w:rPr>
      <w:rFonts w:ascii="Helvetica LT Std" w:hAnsi="Helvetica LT Std" w:cs="Myriad Pro"/>
      <w:color w:val="706F72"/>
      <w:sz w:val="19"/>
      <w:szCs w:val="19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42EA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42EA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55E99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55E9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F3F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5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grad.com/courses" TargetMode="External"/><Relationship Id="rId13" Type="http://schemas.openxmlformats.org/officeDocument/2006/relationships/hyperlink" Target="https://www.igrad.com/budget" TargetMode="External"/><Relationship Id="rId18" Type="http://schemas.openxmlformats.org/officeDocument/2006/relationships/hyperlink" Target="https://www.trelliscompany.org/student-financial-education-program/download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nces.ed.gov/programs/coe/pdf/coe_ssa.pdf" TargetMode="External"/><Relationship Id="rId12" Type="http://schemas.openxmlformats.org/officeDocument/2006/relationships/hyperlink" Target="https://www.igrad.com/games/financial-football.aspx" TargetMode="External"/><Relationship Id="rId17" Type="http://schemas.openxmlformats.org/officeDocument/2006/relationships/hyperlink" Target="https://www.trelliscompany.org/student-financial-education-program/training-and-resources-for-schools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ie.org/succeeding-through-college/your-academic-journey/keep-career-mind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grad.com/scholarships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aie.org/succeeding-through-college/your-academic-journey/tips-keeping-track-staying-school/stopping-just-one-semester/" TargetMode="External"/><Relationship Id="rId10" Type="http://schemas.openxmlformats.org/officeDocument/2006/relationships/hyperlink" Target="https://www.igrad.com/articles/what-we-can-learn-from-the-financial-challenges-of-professional-athletes" TargetMode="External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igrad.com/articles/6-ways-college-athletes-can-be-financially-savvy" TargetMode="External"/><Relationship Id="rId14" Type="http://schemas.openxmlformats.org/officeDocument/2006/relationships/hyperlink" Target="https://www.aie.org/succeeding-through-college/your-academic-journey/dropping-classes-financial-aid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603</Words>
  <Characters>3443</Characters>
  <Application>Microsoft Office Word</Application>
  <DocSecurity>4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TG</Company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tgrob</dc:creator>
  <cp:keywords/>
  <cp:lastModifiedBy>Richard Sapp</cp:lastModifiedBy>
  <cp:revision>2</cp:revision>
  <cp:lastPrinted>2017-10-24T21:01:00Z</cp:lastPrinted>
  <dcterms:created xsi:type="dcterms:W3CDTF">2018-07-03T20:00:00Z</dcterms:created>
  <dcterms:modified xsi:type="dcterms:W3CDTF">2018-07-03T20:00:00Z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-932676574</vt:i4>
  </property>
  <property fmtid="{D5CDD505-2E9C-101B-9397-08002B2CF9AE}" pid="4" name="_EmailSubject">
    <vt:lpwstr>Project Success: Financial Education follow-up </vt:lpwstr>
  </property>
  <property fmtid="{D5CDD505-2E9C-101B-9397-08002B2CF9AE}" pid="5" name="_AuthorEmail">
    <vt:lpwstr>Phillip.Nevels@trelliscompany.org</vt:lpwstr>
  </property>
  <property fmtid="{D5CDD505-2E9C-101B-9397-08002B2CF9AE}" pid="6" name="_AuthorEmailDisplayName">
    <vt:lpwstr>Nevels, Phillip</vt:lpwstr>
  </property>
  <property fmtid="{D5CDD505-2E9C-101B-9397-08002B2CF9AE}" pid="7" name="_PreviousAdHocReviewCycleID">
    <vt:i4>1058817608</vt:i4>
  </property>
  <property fmtid="{D5CDD505-2E9C-101B-9397-08002B2CF9AE}" pid="8" name="_ReviewingToolsShownOnce">
    <vt:lpwstr/>
  </property>
</Properties>
</file>