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2A2" w:rsidRDefault="00ED52A2" w:rsidP="004C0535">
      <w:pPr>
        <w:jc w:val="center"/>
        <w:rPr>
          <w:sz w:val="28"/>
        </w:rPr>
      </w:pPr>
    </w:p>
    <w:p w:rsidR="004C0535" w:rsidRPr="004C0535" w:rsidRDefault="004C0535" w:rsidP="004C0535">
      <w:pPr>
        <w:jc w:val="center"/>
        <w:rPr>
          <w:sz w:val="28"/>
        </w:rPr>
      </w:pPr>
      <w:bookmarkStart w:id="0" w:name="_GoBack"/>
      <w:r w:rsidRPr="004C0535">
        <w:rPr>
          <w:sz w:val="28"/>
        </w:rPr>
        <w:t xml:space="preserve">Addressing the Financial Education Needs of </w:t>
      </w:r>
      <w:r w:rsidR="001D42A8">
        <w:rPr>
          <w:sz w:val="28"/>
        </w:rPr>
        <w:t>Women in College</w:t>
      </w:r>
    </w:p>
    <w:bookmarkEnd w:id="0"/>
    <w:p w:rsidR="001D42A8" w:rsidRDefault="001D42A8" w:rsidP="001D42A8">
      <w:r>
        <w:t>Women may benefit from focused financial education topics to address circumstances that, as a group, they tend to experience over their lifetimes. Research has shown us that women tend to:</w:t>
      </w:r>
    </w:p>
    <w:p w:rsidR="001D42A8" w:rsidRDefault="001D42A8" w:rsidP="001D42A8">
      <w:pPr>
        <w:numPr>
          <w:ilvl w:val="0"/>
          <w:numId w:val="6"/>
        </w:numPr>
        <w:spacing w:after="0" w:line="240" w:lineRule="auto"/>
        <w:rPr>
          <w:rFonts w:eastAsia="Times New Roman"/>
        </w:rPr>
      </w:pPr>
      <w:r>
        <w:rPr>
          <w:rFonts w:eastAsia="Times New Roman"/>
        </w:rPr>
        <w:t xml:space="preserve">Earn less: According to </w:t>
      </w:r>
      <w:hyperlink r:id="rId7" w:history="1">
        <w:r>
          <w:rPr>
            <w:rStyle w:val="Hyperlink"/>
            <w:rFonts w:eastAsia="Times New Roman"/>
          </w:rPr>
          <w:t>Census Bureau data</w:t>
        </w:r>
      </w:hyperlink>
      <w:r>
        <w:rPr>
          <w:rFonts w:eastAsia="Times New Roman"/>
        </w:rPr>
        <w:t>, for full-time year-round workers, women earned about 80% of what men earned in 2016.</w:t>
      </w:r>
    </w:p>
    <w:p w:rsidR="001D42A8" w:rsidRDefault="001D42A8" w:rsidP="001D42A8">
      <w:pPr>
        <w:numPr>
          <w:ilvl w:val="0"/>
          <w:numId w:val="6"/>
        </w:numPr>
        <w:spacing w:after="0" w:line="240" w:lineRule="auto"/>
        <w:rPr>
          <w:rFonts w:eastAsia="Times New Roman"/>
        </w:rPr>
      </w:pPr>
      <w:r>
        <w:rPr>
          <w:rFonts w:eastAsia="Times New Roman"/>
        </w:rPr>
        <w:t xml:space="preserve">Take breaks from the workforce to fulfill caretaking roles. A 2013 </w:t>
      </w:r>
      <w:hyperlink r:id="rId8" w:history="1">
        <w:r>
          <w:rPr>
            <w:rStyle w:val="Hyperlink"/>
            <w:rFonts w:eastAsia="Times New Roman"/>
          </w:rPr>
          <w:t>Pew Research study</w:t>
        </w:r>
      </w:hyperlink>
      <w:r>
        <w:rPr>
          <w:rFonts w:eastAsia="Times New Roman"/>
        </w:rPr>
        <w:t xml:space="preserve"> found that, “mothers were much more likely than fathers to report experiencing significant career interruptions in order to attend to” a family member. Interruptions in workforce participation directly affect current and lifetime earnings and retirement savings potential.</w:t>
      </w:r>
    </w:p>
    <w:p w:rsidR="001D42A8" w:rsidRDefault="001D42A8" w:rsidP="001D42A8">
      <w:pPr>
        <w:numPr>
          <w:ilvl w:val="0"/>
          <w:numId w:val="6"/>
        </w:numPr>
        <w:spacing w:after="0" w:line="240" w:lineRule="auto"/>
        <w:rPr>
          <w:rFonts w:eastAsia="Times New Roman"/>
          <w:color w:val="0563C1"/>
          <w:u w:val="single"/>
        </w:rPr>
      </w:pPr>
      <w:r>
        <w:rPr>
          <w:rFonts w:eastAsia="Times New Roman"/>
        </w:rPr>
        <w:t>Carry a credit card balance, pay late fees, and make minimum payments on their debts, according to a study (“</w:t>
      </w:r>
      <w:hyperlink r:id="rId9" w:history="1">
        <w:r>
          <w:rPr>
            <w:rStyle w:val="Hyperlink"/>
            <w:rFonts w:eastAsia="Times New Roman"/>
          </w:rPr>
          <w:t>In Our Best Interest: Women, Financial Literacy, and Credit Card Behavior</w:t>
        </w:r>
      </w:hyperlink>
      <w:r>
        <w:rPr>
          <w:rFonts w:eastAsia="Times New Roman"/>
        </w:rPr>
        <w:t xml:space="preserve">”) published by the Financial Industry Regulatory Association (FINRA). </w:t>
      </w:r>
    </w:p>
    <w:p w:rsidR="001D42A8" w:rsidRDefault="001D42A8" w:rsidP="00183670">
      <w:pPr>
        <w:numPr>
          <w:ilvl w:val="0"/>
          <w:numId w:val="6"/>
        </w:numPr>
        <w:spacing w:after="0" w:line="240" w:lineRule="auto"/>
        <w:rPr>
          <w:rFonts w:eastAsia="Times New Roman"/>
        </w:rPr>
      </w:pPr>
      <w:r>
        <w:rPr>
          <w:rFonts w:eastAsia="Times New Roman"/>
        </w:rPr>
        <w:t xml:space="preserve">Live longer. An </w:t>
      </w:r>
      <w:hyperlink r:id="rId10" w:history="1">
        <w:r>
          <w:rPr>
            <w:rStyle w:val="Hyperlink"/>
            <w:rFonts w:eastAsia="Times New Roman"/>
          </w:rPr>
          <w:t>AARP study</w:t>
        </w:r>
      </w:hyperlink>
      <w:r>
        <w:rPr>
          <w:rFonts w:eastAsia="Times New Roman"/>
        </w:rPr>
        <w:t xml:space="preserve"> notes that, “Preparing for an adequate retirement is more of a challenge for women than it is for men. Women are more likely to live alone, tend to live longer than men, and are at greater risk of outliving some sources of retirement income, making it more difficult for women to meet their retirement needs.”</w:t>
      </w:r>
    </w:p>
    <w:p w:rsidR="001D42A8" w:rsidRDefault="001D42A8" w:rsidP="00183670">
      <w:pPr>
        <w:spacing w:after="0"/>
      </w:pPr>
    </w:p>
    <w:p w:rsidR="001D42A8" w:rsidRDefault="001D42A8" w:rsidP="00183670">
      <w:pPr>
        <w:spacing w:after="0"/>
      </w:pPr>
      <w:r>
        <w:t xml:space="preserve">Increasing awareness around how these unique characteristics can affect lifetime financial wellness can help women become more informed about choices and plan for future needs. Trellis offers several financial education pathways that can empower women </w:t>
      </w:r>
      <w:r w:rsidR="00E74C8F">
        <w:t>in addressing these challenges:</w:t>
      </w:r>
    </w:p>
    <w:p w:rsidR="00E74C8F" w:rsidRDefault="00E74C8F" w:rsidP="00183670">
      <w:pPr>
        <w:spacing w:after="0"/>
      </w:pPr>
    </w:p>
    <w:p w:rsidR="00183670" w:rsidRDefault="00E74C8F" w:rsidP="00183670">
      <w:pPr>
        <w:pStyle w:val="ListParagraph"/>
        <w:numPr>
          <w:ilvl w:val="0"/>
          <w:numId w:val="5"/>
        </w:numPr>
        <w:spacing w:after="0"/>
      </w:pPr>
      <w:r>
        <w:t>iGrad offers online, on demand, financial education to your students in a variety of media:</w:t>
      </w:r>
    </w:p>
    <w:p w:rsidR="00183670" w:rsidRDefault="006754EF" w:rsidP="00183670">
      <w:pPr>
        <w:pStyle w:val="ListParagraph"/>
        <w:numPr>
          <w:ilvl w:val="1"/>
          <w:numId w:val="5"/>
        </w:numPr>
        <w:spacing w:after="0"/>
      </w:pPr>
      <w:hyperlink r:id="rId11" w:history="1">
        <w:r w:rsidR="00E74C8F">
          <w:rPr>
            <w:rStyle w:val="Hyperlink"/>
          </w:rPr>
          <w:t>Courses</w:t>
        </w:r>
      </w:hyperlink>
      <w:r w:rsidR="00183670">
        <w:t xml:space="preserve"> </w:t>
      </w:r>
      <w:r w:rsidR="00183670" w:rsidRPr="00183670">
        <w:t xml:space="preserve">are short, interactive modules that include quizzes and a certificate of completion. We recommend </w:t>
      </w:r>
      <w:proofErr w:type="gramStart"/>
      <w:r w:rsidR="00183670" w:rsidRPr="00183670">
        <w:t>in particular the</w:t>
      </w:r>
      <w:proofErr w:type="gramEnd"/>
      <w:r w:rsidR="00183670" w:rsidRPr="00183670">
        <w:t xml:space="preserve"> </w:t>
      </w:r>
      <w:r w:rsidR="00183670">
        <w:t>following courses:</w:t>
      </w:r>
    </w:p>
    <w:p w:rsidR="00183670" w:rsidRDefault="00183670" w:rsidP="00183670">
      <w:pPr>
        <w:pStyle w:val="ListParagraph"/>
        <w:numPr>
          <w:ilvl w:val="2"/>
          <w:numId w:val="5"/>
        </w:numPr>
      </w:pPr>
      <w:r>
        <w:t>“</w:t>
      </w:r>
      <w:r w:rsidR="00E74C8F">
        <w:t>A</w:t>
      </w:r>
      <w:r>
        <w:t>ssessing your financial health”</w:t>
      </w:r>
    </w:p>
    <w:p w:rsidR="00183670" w:rsidRDefault="00183670" w:rsidP="00183670">
      <w:pPr>
        <w:pStyle w:val="ListParagraph"/>
        <w:numPr>
          <w:ilvl w:val="2"/>
          <w:numId w:val="5"/>
        </w:numPr>
      </w:pPr>
      <w:r>
        <w:t>“</w:t>
      </w:r>
      <w:r w:rsidR="00E74C8F">
        <w:t xml:space="preserve">Spending </w:t>
      </w:r>
      <w:r>
        <w:t>smart and creating a budget”</w:t>
      </w:r>
    </w:p>
    <w:p w:rsidR="00183670" w:rsidRDefault="00183670" w:rsidP="00183670">
      <w:pPr>
        <w:pStyle w:val="ListParagraph"/>
        <w:numPr>
          <w:ilvl w:val="2"/>
          <w:numId w:val="5"/>
        </w:numPr>
      </w:pPr>
      <w:r>
        <w:t>“</w:t>
      </w:r>
      <w:r w:rsidR="00E74C8F">
        <w:t>Usin</w:t>
      </w:r>
      <w:r>
        <w:t>g credit cards responsibly”</w:t>
      </w:r>
    </w:p>
    <w:p w:rsidR="00183670" w:rsidRDefault="00183670" w:rsidP="00E74C8F">
      <w:pPr>
        <w:pStyle w:val="ListParagraph"/>
        <w:numPr>
          <w:ilvl w:val="2"/>
          <w:numId w:val="5"/>
        </w:numPr>
      </w:pPr>
      <w:r>
        <w:t>“Investing to build wealth”</w:t>
      </w:r>
    </w:p>
    <w:p w:rsidR="00183670" w:rsidRDefault="00E74C8F" w:rsidP="00183670">
      <w:pPr>
        <w:pStyle w:val="ListParagraph"/>
        <w:numPr>
          <w:ilvl w:val="1"/>
          <w:numId w:val="5"/>
        </w:numPr>
      </w:pPr>
      <w:r>
        <w:t xml:space="preserve">Articles: </w:t>
      </w:r>
    </w:p>
    <w:p w:rsidR="00183670" w:rsidRDefault="00E74C8F" w:rsidP="00183670">
      <w:pPr>
        <w:pStyle w:val="ListParagraph"/>
        <w:numPr>
          <w:ilvl w:val="2"/>
          <w:numId w:val="5"/>
        </w:numPr>
      </w:pPr>
      <w:r>
        <w:t>“</w:t>
      </w:r>
      <w:hyperlink r:id="rId12" w:history="1">
        <w:r>
          <w:rPr>
            <w:rStyle w:val="Hyperlink"/>
          </w:rPr>
          <w:t>7 Easy Solutions to Your Overspending Triggers</w:t>
        </w:r>
      </w:hyperlink>
      <w:r>
        <w:t xml:space="preserve">,” </w:t>
      </w:r>
    </w:p>
    <w:p w:rsidR="00183670" w:rsidRDefault="00E74C8F" w:rsidP="00E74C8F">
      <w:pPr>
        <w:pStyle w:val="ListParagraph"/>
        <w:numPr>
          <w:ilvl w:val="2"/>
          <w:numId w:val="5"/>
        </w:numPr>
      </w:pPr>
      <w:r>
        <w:t xml:space="preserve">“Investment Strategies for Women, </w:t>
      </w:r>
      <w:hyperlink r:id="rId13" w:history="1">
        <w:r>
          <w:rPr>
            <w:rStyle w:val="Hyperlink"/>
          </w:rPr>
          <w:t>Part One</w:t>
        </w:r>
      </w:hyperlink>
      <w:r>
        <w:t xml:space="preserve"> and </w:t>
      </w:r>
      <w:hyperlink r:id="rId14" w:history="1">
        <w:r>
          <w:rPr>
            <w:rStyle w:val="Hyperlink"/>
          </w:rPr>
          <w:t>Part Two</w:t>
        </w:r>
      </w:hyperlink>
      <w:r w:rsidR="00183670">
        <w:t xml:space="preserve">,” </w:t>
      </w:r>
    </w:p>
    <w:p w:rsidR="00183670" w:rsidRDefault="00E74C8F" w:rsidP="00183670">
      <w:pPr>
        <w:pStyle w:val="ListParagraph"/>
        <w:numPr>
          <w:ilvl w:val="1"/>
          <w:numId w:val="5"/>
        </w:numPr>
      </w:pPr>
      <w:r>
        <w:t>Other tools:</w:t>
      </w:r>
    </w:p>
    <w:p w:rsidR="00183670" w:rsidRPr="00183670" w:rsidRDefault="00E74C8F" w:rsidP="00183670">
      <w:pPr>
        <w:pStyle w:val="ListParagraph"/>
        <w:numPr>
          <w:ilvl w:val="2"/>
          <w:numId w:val="5"/>
        </w:numPr>
      </w:pPr>
      <w:r w:rsidRPr="00183670">
        <w:rPr>
          <w:rFonts w:eastAsia="Times New Roman"/>
        </w:rPr>
        <w:t xml:space="preserve">Create </w:t>
      </w:r>
      <w:hyperlink r:id="rId15" w:history="1">
        <w:r w:rsidRPr="00183670">
          <w:rPr>
            <w:rStyle w:val="Hyperlink"/>
            <w:rFonts w:eastAsia="Times New Roman"/>
          </w:rPr>
          <w:t>Your Budget</w:t>
        </w:r>
      </w:hyperlink>
      <w:r w:rsidR="00183670">
        <w:rPr>
          <w:rFonts w:eastAsia="Times New Roman"/>
        </w:rPr>
        <w:t>: a spending planner specifically for college students</w:t>
      </w:r>
    </w:p>
    <w:p w:rsidR="00183670" w:rsidRPr="00183670" w:rsidRDefault="006754EF" w:rsidP="00183670">
      <w:pPr>
        <w:pStyle w:val="ListParagraph"/>
        <w:numPr>
          <w:ilvl w:val="2"/>
          <w:numId w:val="5"/>
        </w:numPr>
      </w:pPr>
      <w:hyperlink r:id="rId16" w:history="1">
        <w:r w:rsidR="00E74C8F" w:rsidRPr="00183670">
          <w:rPr>
            <w:rStyle w:val="Hyperlink"/>
            <w:rFonts w:eastAsia="Times New Roman"/>
          </w:rPr>
          <w:t>Savings Investment</w:t>
        </w:r>
      </w:hyperlink>
      <w:r w:rsidR="00E74C8F" w:rsidRPr="00183670">
        <w:rPr>
          <w:rFonts w:eastAsia="Times New Roman"/>
        </w:rPr>
        <w:t xml:space="preserve"> calculator</w:t>
      </w:r>
      <w:r w:rsidR="00183670">
        <w:rPr>
          <w:rFonts w:eastAsia="Times New Roman"/>
        </w:rPr>
        <w:t>: help students understand the power of compounding interest</w:t>
      </w:r>
    </w:p>
    <w:p w:rsidR="00183670" w:rsidRPr="00183670" w:rsidRDefault="00E74C8F" w:rsidP="00183670">
      <w:pPr>
        <w:pStyle w:val="ListParagraph"/>
        <w:numPr>
          <w:ilvl w:val="2"/>
          <w:numId w:val="5"/>
        </w:numPr>
      </w:pPr>
      <w:r w:rsidRPr="00183670">
        <w:rPr>
          <w:rFonts w:eastAsia="Times New Roman"/>
        </w:rPr>
        <w:t>Webinar clip “</w:t>
      </w:r>
      <w:hyperlink r:id="rId17" w:history="1">
        <w:r w:rsidRPr="00183670">
          <w:rPr>
            <w:rStyle w:val="Hyperlink"/>
            <w:rFonts w:eastAsia="Times New Roman"/>
          </w:rPr>
          <w:t>Finance and Family: Money Personalities</w:t>
        </w:r>
      </w:hyperlink>
      <w:r w:rsidRPr="00183670">
        <w:rPr>
          <w:rFonts w:eastAsia="Times New Roman"/>
        </w:rPr>
        <w:t xml:space="preserve">” </w:t>
      </w:r>
    </w:p>
    <w:p w:rsidR="00183670" w:rsidRPr="000B28BF" w:rsidRDefault="006754EF" w:rsidP="00E74C8F">
      <w:pPr>
        <w:pStyle w:val="ListParagraph"/>
        <w:numPr>
          <w:ilvl w:val="2"/>
          <w:numId w:val="5"/>
        </w:numPr>
      </w:pPr>
      <w:hyperlink r:id="rId18" w:history="1">
        <w:r w:rsidR="00E74C8F" w:rsidRPr="00183670">
          <w:rPr>
            <w:rStyle w:val="Hyperlink"/>
            <w:rFonts w:eastAsia="Times New Roman"/>
          </w:rPr>
          <w:t>Invest Quest</w:t>
        </w:r>
      </w:hyperlink>
      <w:r w:rsidR="00E74C8F" w:rsidRPr="00183670">
        <w:rPr>
          <w:rFonts w:eastAsia="Times New Roman"/>
        </w:rPr>
        <w:t xml:space="preserve"> and </w:t>
      </w:r>
      <w:hyperlink r:id="rId19" w:history="1">
        <w:r w:rsidR="00E74C8F" w:rsidRPr="00183670">
          <w:rPr>
            <w:rStyle w:val="Hyperlink"/>
            <w:rFonts w:eastAsia="Times New Roman"/>
          </w:rPr>
          <w:t>Credit Card Simulator</w:t>
        </w:r>
      </w:hyperlink>
      <w:r w:rsidR="00E74C8F" w:rsidRPr="00183670">
        <w:rPr>
          <w:rFonts w:eastAsia="Times New Roman"/>
        </w:rPr>
        <w:t xml:space="preserve"> games</w:t>
      </w:r>
      <w:r w:rsidR="00183670">
        <w:rPr>
          <w:rFonts w:eastAsia="Times New Roman"/>
        </w:rPr>
        <w:t>: online activities to test knowledge and demonstrate the consequences of real-life credit decisions</w:t>
      </w:r>
    </w:p>
    <w:p w:rsidR="000B28BF" w:rsidRPr="00183670" w:rsidRDefault="000B28BF" w:rsidP="000B28BF">
      <w:pPr>
        <w:pStyle w:val="ListParagraph"/>
        <w:ind w:left="2160"/>
      </w:pPr>
    </w:p>
    <w:p w:rsidR="00183670" w:rsidRDefault="0039399E" w:rsidP="00183670">
      <w:pPr>
        <w:pStyle w:val="ListParagraph"/>
        <w:numPr>
          <w:ilvl w:val="0"/>
          <w:numId w:val="5"/>
        </w:numPr>
      </w:pPr>
      <w:r>
        <w:t>a</w:t>
      </w:r>
      <w:r w:rsidR="00E74C8F">
        <w:t>ie</w:t>
      </w:r>
      <w:r w:rsidR="00183670">
        <w:t>.org, Trellis Company’s financial awareness site that guides students and parents through the college experience, beginning in high school through life after college:</w:t>
      </w:r>
    </w:p>
    <w:p w:rsidR="00183670" w:rsidRPr="00183670" w:rsidRDefault="00E74C8F" w:rsidP="00183670">
      <w:pPr>
        <w:pStyle w:val="ListParagraph"/>
        <w:numPr>
          <w:ilvl w:val="1"/>
          <w:numId w:val="5"/>
        </w:numPr>
      </w:pPr>
      <w:r w:rsidRPr="00183670">
        <w:rPr>
          <w:rFonts w:eastAsia="Times New Roman"/>
        </w:rPr>
        <w:t>“</w:t>
      </w:r>
      <w:hyperlink r:id="rId20" w:history="1">
        <w:r w:rsidRPr="00183670">
          <w:rPr>
            <w:rStyle w:val="Hyperlink"/>
            <w:rFonts w:eastAsia="Times New Roman"/>
          </w:rPr>
          <w:t>Reading a Credit Card Statement</w:t>
        </w:r>
      </w:hyperlink>
      <w:r w:rsidRPr="00183670">
        <w:rPr>
          <w:rFonts w:eastAsia="Times New Roman"/>
        </w:rPr>
        <w:t>”</w:t>
      </w:r>
    </w:p>
    <w:p w:rsidR="00E74C8F" w:rsidRPr="00183670" w:rsidRDefault="00E74C8F" w:rsidP="00183670">
      <w:pPr>
        <w:pStyle w:val="ListParagraph"/>
        <w:numPr>
          <w:ilvl w:val="1"/>
          <w:numId w:val="5"/>
        </w:numPr>
      </w:pPr>
      <w:r w:rsidRPr="00183670">
        <w:rPr>
          <w:rFonts w:eastAsia="Times New Roman"/>
        </w:rPr>
        <w:t>“</w:t>
      </w:r>
      <w:hyperlink r:id="rId21" w:history="1">
        <w:r w:rsidRPr="00183670">
          <w:rPr>
            <w:rStyle w:val="Hyperlink"/>
            <w:rFonts w:eastAsia="Times New Roman"/>
          </w:rPr>
          <w:t>What’s in a Credit Report?”</w:t>
        </w:r>
      </w:hyperlink>
    </w:p>
    <w:p w:rsidR="00E74C8F" w:rsidRDefault="00E74C8F" w:rsidP="00E74C8F">
      <w:pPr>
        <w:rPr>
          <w:rFonts w:eastAsiaTheme="minorHAnsi"/>
        </w:rPr>
      </w:pPr>
    </w:p>
    <w:p w:rsidR="00183670" w:rsidRDefault="00183670" w:rsidP="00183670">
      <w:pPr>
        <w:pStyle w:val="ListParagraph"/>
        <w:numPr>
          <w:ilvl w:val="0"/>
          <w:numId w:val="5"/>
        </w:numPr>
      </w:pPr>
      <w:r>
        <w:rPr>
          <w:rFonts w:eastAsia="Times New Roman"/>
        </w:rPr>
        <w:t xml:space="preserve">Trellis’ </w:t>
      </w:r>
      <w:r>
        <w:t xml:space="preserve">in-person student financial education </w:t>
      </w:r>
      <w:hyperlink r:id="rId22" w:history="1">
        <w:r w:rsidRPr="000523D0">
          <w:rPr>
            <w:rStyle w:val="Hyperlink"/>
          </w:rPr>
          <w:t>modules</w:t>
        </w:r>
      </w:hyperlink>
      <w:r>
        <w:t xml:space="preserve">: </w:t>
      </w:r>
    </w:p>
    <w:p w:rsidR="00183670" w:rsidRDefault="0039399E" w:rsidP="00183670">
      <w:pPr>
        <w:pStyle w:val="ListParagraph"/>
        <w:numPr>
          <w:ilvl w:val="1"/>
          <w:numId w:val="5"/>
        </w:numPr>
      </w:pPr>
      <w:r>
        <w:t>“</w:t>
      </w:r>
      <w:r w:rsidR="00183670">
        <w:t>Plan and Spend</w:t>
      </w:r>
      <w:r>
        <w:t>”</w:t>
      </w:r>
      <w:r w:rsidR="00183670">
        <w:t>: students learn m</w:t>
      </w:r>
      <w:r w:rsidR="00183670" w:rsidRPr="000523D0">
        <w:t>oney management basics</w:t>
      </w:r>
      <w:r w:rsidR="00183670">
        <w:t xml:space="preserve">, including </w:t>
      </w:r>
      <w:r w:rsidR="00183670" w:rsidRPr="000523D0">
        <w:t xml:space="preserve">understanding needs and wants, creating spending plans and cash flow statements, </w:t>
      </w:r>
      <w:r w:rsidR="00183670">
        <w:t>and methods of tracking</w:t>
      </w:r>
      <w:r w:rsidR="00183670" w:rsidRPr="000523D0">
        <w:t xml:space="preserve"> money.</w:t>
      </w:r>
    </w:p>
    <w:p w:rsidR="00183670" w:rsidRDefault="0039399E" w:rsidP="00183670">
      <w:pPr>
        <w:pStyle w:val="ListParagraph"/>
        <w:numPr>
          <w:ilvl w:val="1"/>
          <w:numId w:val="5"/>
        </w:numPr>
      </w:pPr>
      <w:r>
        <w:t>“</w:t>
      </w:r>
      <w:r w:rsidR="00183670">
        <w:t>Borrow Smart</w:t>
      </w:r>
      <w:r>
        <w:t>”</w:t>
      </w:r>
      <w:r w:rsidR="00183670">
        <w:t>: covers how u</w:t>
      </w:r>
      <w:r w:rsidR="00183670" w:rsidRPr="000523D0">
        <w:t>ninformed credit decisions can have lasting eff</w:t>
      </w:r>
      <w:r w:rsidR="00183670">
        <w:t xml:space="preserve">ects, as well as </w:t>
      </w:r>
      <w:r w:rsidR="00183670" w:rsidRPr="000523D0">
        <w:t xml:space="preserve">types of credit, interest rates, credit reports and scores, kinds of credit to avoid, </w:t>
      </w:r>
      <w:r w:rsidR="00183670">
        <w:t xml:space="preserve">and </w:t>
      </w:r>
      <w:r w:rsidR="00183670" w:rsidRPr="000523D0">
        <w:t>how to resolve serious debt problems.</w:t>
      </w:r>
    </w:p>
    <w:p w:rsidR="00183670" w:rsidRDefault="0039399E" w:rsidP="00183670">
      <w:pPr>
        <w:pStyle w:val="ListParagraph"/>
        <w:numPr>
          <w:ilvl w:val="1"/>
          <w:numId w:val="5"/>
        </w:numPr>
      </w:pPr>
      <w:r>
        <w:t>“</w:t>
      </w:r>
      <w:r w:rsidR="00183670">
        <w:t>Save and Build for the Future</w:t>
      </w:r>
      <w:r>
        <w:t>”</w:t>
      </w:r>
      <w:r w:rsidR="00183670">
        <w:t>: discusses s</w:t>
      </w:r>
      <w:r w:rsidR="00183670" w:rsidRPr="00183670">
        <w:t xml:space="preserve">aving for an emergency, a </w:t>
      </w:r>
      <w:r w:rsidR="00183670">
        <w:t xml:space="preserve">home, and retirement. Also </w:t>
      </w:r>
      <w:r w:rsidR="00183670" w:rsidRPr="00183670">
        <w:t xml:space="preserve">covers different types of bank accounts and why they’re important, </w:t>
      </w:r>
      <w:r w:rsidR="00183670">
        <w:t xml:space="preserve">and </w:t>
      </w:r>
      <w:r w:rsidR="00183670" w:rsidRPr="00183670">
        <w:t>explains various investment vehicles.</w:t>
      </w:r>
    </w:p>
    <w:p w:rsidR="000523D0" w:rsidRDefault="000523D0" w:rsidP="004C0535">
      <w:pPr>
        <w:pStyle w:val="ListParagraph"/>
        <w:numPr>
          <w:ilvl w:val="1"/>
          <w:numId w:val="5"/>
        </w:numPr>
      </w:pPr>
      <w:r>
        <w:t xml:space="preserve">These modules and all accompanying materials may be downloaded </w:t>
      </w:r>
      <w:hyperlink r:id="rId23" w:history="1">
        <w:r w:rsidRPr="000523D0">
          <w:rPr>
            <w:rStyle w:val="Hyperlink"/>
          </w:rPr>
          <w:t>here</w:t>
        </w:r>
      </w:hyperlink>
      <w:r>
        <w:t>.</w:t>
      </w:r>
    </w:p>
    <w:p w:rsidR="00694168" w:rsidRDefault="004C0535" w:rsidP="000523D0">
      <w:r>
        <w:t>These resources can be used in a variety of settings and frameworks, including in-class workshops, homework assignments/journal reflections, extra credit su</w:t>
      </w:r>
      <w:r w:rsidR="000523D0">
        <w:t>ggestions, and group activities. We recommend introducing fundamental topics (for example, the iGrad courses and Your Budget tool) early in a student’s academic career, and building upon that foundation in subsequent years through the integration of more advanced topics.</w:t>
      </w:r>
    </w:p>
    <w:p w:rsidR="00E74C8F" w:rsidRDefault="00E74C8F" w:rsidP="000523D0"/>
    <w:p w:rsidR="00E74C8F" w:rsidRPr="000523D0" w:rsidRDefault="00E74C8F" w:rsidP="000523D0">
      <w:pPr>
        <w:rPr>
          <w:rStyle w:val="A0"/>
          <w:rFonts w:cs="Times New Roman"/>
          <w:color w:val="auto"/>
          <w:sz w:val="22"/>
          <w:szCs w:val="22"/>
        </w:rPr>
      </w:pPr>
    </w:p>
    <w:sectPr w:rsidR="00E74C8F" w:rsidRPr="000523D0" w:rsidSect="00704BA1">
      <w:headerReference w:type="default" r:id="rId24"/>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0F1" w:rsidRDefault="00A710F1" w:rsidP="00410D24">
      <w:pPr>
        <w:spacing w:after="0" w:line="240" w:lineRule="auto"/>
      </w:pPr>
      <w:r>
        <w:separator/>
      </w:r>
    </w:p>
  </w:endnote>
  <w:endnote w:type="continuationSeparator" w:id="0">
    <w:p w:rsidR="00A710F1" w:rsidRDefault="00A710F1" w:rsidP="0041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Light">
    <w:panose1 w:val="00000000000000000000"/>
    <w:charset w:val="00"/>
    <w:family w:val="swiss"/>
    <w:notTrueType/>
    <w:pitch w:val="variable"/>
    <w:sig w:usb0="A00002AF" w:usb1="5000204B" w:usb2="00000000" w:usb3="00000000" w:csb0="0000009F" w:csb1="00000000"/>
  </w:font>
  <w:font w:name="Helvetica LT Std">
    <w:altName w:val="Arial"/>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0F1" w:rsidRDefault="00A710F1" w:rsidP="00410D24">
      <w:pPr>
        <w:spacing w:after="0" w:line="240" w:lineRule="auto"/>
      </w:pPr>
      <w:r>
        <w:separator/>
      </w:r>
    </w:p>
  </w:footnote>
  <w:footnote w:type="continuationSeparator" w:id="0">
    <w:p w:rsidR="00A710F1" w:rsidRDefault="00A710F1" w:rsidP="00410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64F" w:rsidRPr="004C723D" w:rsidRDefault="00E7289B" w:rsidP="00ED52A2">
    <w:pPr>
      <w:pStyle w:val="Header"/>
      <w:tabs>
        <w:tab w:val="clear" w:pos="4680"/>
        <w:tab w:val="clear" w:pos="9360"/>
        <w:tab w:val="right" w:pos="10260"/>
      </w:tabs>
      <w:ind w:right="-270"/>
      <w:rPr>
        <w:rFonts w:ascii="Arial" w:hAnsi="Arial" w:cs="Arial"/>
      </w:rPr>
    </w:pPr>
    <w:r>
      <w:rPr>
        <w:noProof/>
      </w:rPr>
      <w:drawing>
        <wp:inline distT="0" distB="0" distL="0" distR="0" wp14:anchorId="04D3B383" wp14:editId="489A6522">
          <wp:extent cx="2057400" cy="666750"/>
          <wp:effectExtent l="0" t="0" r="0" b="0"/>
          <wp:docPr id="3" name="Picture 3" descr="M:\__Active Jobs\Trellis Company\_Trellis Company Logo\Formats\Trellis Company-R-H-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__Active Jobs\Trellis Company\_Trellis Company Logo\Formats\Trellis Company-R-H-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66750"/>
                  </a:xfrm>
                  <a:prstGeom prst="rect">
                    <a:avLst/>
                  </a:prstGeom>
                  <a:noFill/>
                  <a:ln>
                    <a:noFill/>
                  </a:ln>
                </pic:spPr>
              </pic:pic>
            </a:graphicData>
          </a:graphic>
        </wp:inline>
      </w:drawing>
    </w:r>
    <w:r w:rsidR="0071564F" w:rsidRPr="004C723D">
      <w:rPr>
        <w:rStyle w:val="A2"/>
        <w:rFonts w:ascii="Helvetica LT Std" w:hAnsi="Helvetica LT Std"/>
      </w:rPr>
      <w:tab/>
    </w:r>
    <w:r w:rsidR="0071564F" w:rsidRPr="0042790A">
      <w:rPr>
        <w:rStyle w:val="A2"/>
        <w:rFonts w:ascii="Arial" w:hAnsi="Arial" w:cs="Arial"/>
        <w:color w:val="2F5496" w:themeColor="accent1" w:themeShade="BF"/>
      </w:rPr>
      <w:t>PO Box 83100 Round Rock, Texas 78683-3100   |   800-2</w:t>
    </w:r>
    <w:r w:rsidR="005D5D65">
      <w:rPr>
        <w:rStyle w:val="A2"/>
        <w:rFonts w:ascii="Arial" w:hAnsi="Arial" w:cs="Arial"/>
        <w:color w:val="2F5496" w:themeColor="accent1" w:themeShade="BF"/>
      </w:rPr>
      <w:t>5</w:t>
    </w:r>
    <w:r w:rsidR="0071564F" w:rsidRPr="0042790A">
      <w:rPr>
        <w:rStyle w:val="A2"/>
        <w:rFonts w:ascii="Arial" w:hAnsi="Arial" w:cs="Arial"/>
        <w:color w:val="2F5496" w:themeColor="accent1" w:themeShade="BF"/>
      </w:rPr>
      <w:t>2-</w:t>
    </w:r>
    <w:r w:rsidR="000419E2">
      <w:rPr>
        <w:rStyle w:val="A2"/>
        <w:rFonts w:ascii="Arial" w:hAnsi="Arial" w:cs="Arial"/>
        <w:color w:val="2F5496" w:themeColor="accent1" w:themeShade="BF"/>
      </w:rPr>
      <w:t>9743</w:t>
    </w:r>
    <w:r w:rsidR="0071564F" w:rsidRPr="0042790A">
      <w:rPr>
        <w:rStyle w:val="A2"/>
        <w:rFonts w:ascii="Arial" w:hAnsi="Arial" w:cs="Arial"/>
        <w:color w:val="2F5496" w:themeColor="accent1" w:themeShade="BF"/>
      </w:rPr>
      <w:t xml:space="preserve">   |   512-219-</w:t>
    </w:r>
    <w:r w:rsidR="000419E2">
      <w:rPr>
        <w:rStyle w:val="A2"/>
        <w:rFonts w:ascii="Arial" w:hAnsi="Arial" w:cs="Arial"/>
        <w:color w:val="2F5496" w:themeColor="accent1" w:themeShade="BF"/>
      </w:rPr>
      <w:t>5700</w:t>
    </w:r>
    <w:r w:rsidR="0071564F" w:rsidRPr="0042790A">
      <w:rPr>
        <w:rStyle w:val="A2"/>
        <w:rFonts w:ascii="Arial" w:hAnsi="Arial" w:cs="Arial"/>
        <w:color w:val="2F5496" w:themeColor="accent1" w:themeShade="BF"/>
      </w:rPr>
      <w:t xml:space="preserve">   |   www.</w:t>
    </w:r>
    <w:r w:rsidR="004C723D" w:rsidRPr="0042790A">
      <w:rPr>
        <w:rStyle w:val="A2"/>
        <w:rFonts w:ascii="Arial" w:hAnsi="Arial" w:cs="Arial"/>
        <w:color w:val="2F5496" w:themeColor="accent1" w:themeShade="BF"/>
      </w:rPr>
      <w:t>trelliscompany</w:t>
    </w:r>
    <w:r w:rsidR="0071564F" w:rsidRPr="0042790A">
      <w:rPr>
        <w:rStyle w:val="A2"/>
        <w:rFonts w:ascii="Arial" w:hAnsi="Arial" w:cs="Arial"/>
        <w:color w:val="2F5496" w:themeColor="accent1" w:themeShade="BF"/>
      </w:rPr>
      <w:t>.or</w:t>
    </w:r>
    <w:r w:rsidR="0071564F" w:rsidRPr="004C723D">
      <w:rPr>
        <w:rStyle w:val="A2"/>
        <w:rFonts w:ascii="Arial" w:hAnsi="Arial" w:cs="Arial"/>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F6E"/>
    <w:multiLevelType w:val="hybridMultilevel"/>
    <w:tmpl w:val="BD5CFE12"/>
    <w:lvl w:ilvl="0" w:tplc="A3A6C6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123C7"/>
    <w:multiLevelType w:val="hybridMultilevel"/>
    <w:tmpl w:val="6E4E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6760A"/>
    <w:multiLevelType w:val="hybridMultilevel"/>
    <w:tmpl w:val="4AFAD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F41608"/>
    <w:multiLevelType w:val="hybridMultilevel"/>
    <w:tmpl w:val="E9563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AD17BD"/>
    <w:multiLevelType w:val="hybridMultilevel"/>
    <w:tmpl w:val="E0B8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EB4EF7"/>
    <w:multiLevelType w:val="hybridMultilevel"/>
    <w:tmpl w:val="2138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B38F5"/>
    <w:multiLevelType w:val="hybridMultilevel"/>
    <w:tmpl w:val="B8CE2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B74BB0"/>
    <w:multiLevelType w:val="hybridMultilevel"/>
    <w:tmpl w:val="A7F4B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DF06AC"/>
    <w:multiLevelType w:val="hybridMultilevel"/>
    <w:tmpl w:val="258CE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015A9"/>
    <w:multiLevelType w:val="hybridMultilevel"/>
    <w:tmpl w:val="31C60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5A72CA"/>
    <w:multiLevelType w:val="hybridMultilevel"/>
    <w:tmpl w:val="F64A1152"/>
    <w:lvl w:ilvl="0" w:tplc="E5E40666">
      <w:start w:val="1"/>
      <w:numFmt w:val="bullet"/>
      <w:lvlText w:val=""/>
      <w:lvlJc w:val="left"/>
      <w:pPr>
        <w:ind w:left="720" w:hanging="360"/>
      </w:pPr>
      <w:rPr>
        <w:rFonts w:ascii="Wingdings" w:hAnsi="Wingdings" w:hint="default"/>
        <w:color w:val="00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9"/>
  </w:num>
  <w:num w:numId="5">
    <w:abstractNumId w:val="5"/>
  </w:num>
  <w:num w:numId="6">
    <w:abstractNumId w:val="0"/>
  </w:num>
  <w:num w:numId="7">
    <w:abstractNumId w:val="2"/>
  </w:num>
  <w:num w:numId="8">
    <w:abstractNumId w:val="3"/>
  </w:num>
  <w:num w:numId="9">
    <w:abstractNumId w:val="6"/>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24"/>
    <w:rsid w:val="0002526C"/>
    <w:rsid w:val="000419E2"/>
    <w:rsid w:val="000523D0"/>
    <w:rsid w:val="00063A24"/>
    <w:rsid w:val="00090CC6"/>
    <w:rsid w:val="00094F68"/>
    <w:rsid w:val="000B28BF"/>
    <w:rsid w:val="000C6136"/>
    <w:rsid w:val="000D44F7"/>
    <w:rsid w:val="000E128D"/>
    <w:rsid w:val="00117E1E"/>
    <w:rsid w:val="00141EF8"/>
    <w:rsid w:val="00177657"/>
    <w:rsid w:val="00183670"/>
    <w:rsid w:val="00183A1E"/>
    <w:rsid w:val="00195D0B"/>
    <w:rsid w:val="001A35D6"/>
    <w:rsid w:val="001A60B1"/>
    <w:rsid w:val="001C5ED9"/>
    <w:rsid w:val="001D42A8"/>
    <w:rsid w:val="002227E5"/>
    <w:rsid w:val="00242EAF"/>
    <w:rsid w:val="0027558A"/>
    <w:rsid w:val="002F3FB6"/>
    <w:rsid w:val="00325435"/>
    <w:rsid w:val="00342481"/>
    <w:rsid w:val="0037016C"/>
    <w:rsid w:val="003817EA"/>
    <w:rsid w:val="00385A4A"/>
    <w:rsid w:val="0039399E"/>
    <w:rsid w:val="003C3CB3"/>
    <w:rsid w:val="003D3942"/>
    <w:rsid w:val="00410D24"/>
    <w:rsid w:val="004206B2"/>
    <w:rsid w:val="0042790A"/>
    <w:rsid w:val="004426A5"/>
    <w:rsid w:val="00487BBC"/>
    <w:rsid w:val="00490563"/>
    <w:rsid w:val="00494B8B"/>
    <w:rsid w:val="004C0535"/>
    <w:rsid w:val="004C723D"/>
    <w:rsid w:val="004E35E5"/>
    <w:rsid w:val="004E3BB6"/>
    <w:rsid w:val="004F35C9"/>
    <w:rsid w:val="00574984"/>
    <w:rsid w:val="00581614"/>
    <w:rsid w:val="00581798"/>
    <w:rsid w:val="005D5D65"/>
    <w:rsid w:val="00600A01"/>
    <w:rsid w:val="00622827"/>
    <w:rsid w:val="006305FF"/>
    <w:rsid w:val="006754EF"/>
    <w:rsid w:val="00694168"/>
    <w:rsid w:val="006C3983"/>
    <w:rsid w:val="006D3E42"/>
    <w:rsid w:val="006D79DD"/>
    <w:rsid w:val="006F4826"/>
    <w:rsid w:val="0070464B"/>
    <w:rsid w:val="00704BA1"/>
    <w:rsid w:val="0071564F"/>
    <w:rsid w:val="00777DE2"/>
    <w:rsid w:val="007A5486"/>
    <w:rsid w:val="007E4C85"/>
    <w:rsid w:val="00830077"/>
    <w:rsid w:val="008613C3"/>
    <w:rsid w:val="00862EA6"/>
    <w:rsid w:val="00891FD4"/>
    <w:rsid w:val="008C46B8"/>
    <w:rsid w:val="008C77E2"/>
    <w:rsid w:val="008D52F2"/>
    <w:rsid w:val="00906369"/>
    <w:rsid w:val="0092729F"/>
    <w:rsid w:val="00960E74"/>
    <w:rsid w:val="009632E1"/>
    <w:rsid w:val="00973E2E"/>
    <w:rsid w:val="0098424E"/>
    <w:rsid w:val="009901DE"/>
    <w:rsid w:val="00996F04"/>
    <w:rsid w:val="009B5113"/>
    <w:rsid w:val="009D2E02"/>
    <w:rsid w:val="009E08EA"/>
    <w:rsid w:val="00A608CC"/>
    <w:rsid w:val="00A710F1"/>
    <w:rsid w:val="00A721EE"/>
    <w:rsid w:val="00A9470D"/>
    <w:rsid w:val="00AC5064"/>
    <w:rsid w:val="00AE6BC9"/>
    <w:rsid w:val="00AF44B9"/>
    <w:rsid w:val="00AF5896"/>
    <w:rsid w:val="00B06EF0"/>
    <w:rsid w:val="00B152A1"/>
    <w:rsid w:val="00B358F4"/>
    <w:rsid w:val="00B55850"/>
    <w:rsid w:val="00BE7814"/>
    <w:rsid w:val="00C2668D"/>
    <w:rsid w:val="00C417F5"/>
    <w:rsid w:val="00C64F76"/>
    <w:rsid w:val="00D245FF"/>
    <w:rsid w:val="00D54CEF"/>
    <w:rsid w:val="00D61D28"/>
    <w:rsid w:val="00D65648"/>
    <w:rsid w:val="00D82C0C"/>
    <w:rsid w:val="00D90037"/>
    <w:rsid w:val="00DA22FD"/>
    <w:rsid w:val="00DF7C0C"/>
    <w:rsid w:val="00E45BE1"/>
    <w:rsid w:val="00E53F8D"/>
    <w:rsid w:val="00E7210A"/>
    <w:rsid w:val="00E7289B"/>
    <w:rsid w:val="00E74C8F"/>
    <w:rsid w:val="00E9694E"/>
    <w:rsid w:val="00EB6236"/>
    <w:rsid w:val="00ED52A2"/>
    <w:rsid w:val="00EE67CA"/>
    <w:rsid w:val="00F0770D"/>
    <w:rsid w:val="00F3668D"/>
    <w:rsid w:val="00F55E99"/>
    <w:rsid w:val="00FA26CE"/>
    <w:rsid w:val="00FC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EA5954A-B04E-4EB2-A450-230C686C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2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D24"/>
  </w:style>
  <w:style w:type="paragraph" w:styleId="Footer">
    <w:name w:val="footer"/>
    <w:basedOn w:val="Normal"/>
    <w:link w:val="FooterChar"/>
    <w:uiPriority w:val="99"/>
    <w:unhideWhenUsed/>
    <w:rsid w:val="0041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D24"/>
  </w:style>
  <w:style w:type="paragraph" w:styleId="BalloonText">
    <w:name w:val="Balloon Text"/>
    <w:basedOn w:val="Normal"/>
    <w:link w:val="BalloonTextChar"/>
    <w:uiPriority w:val="99"/>
    <w:semiHidden/>
    <w:unhideWhenUsed/>
    <w:rsid w:val="00410D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0D24"/>
    <w:rPr>
      <w:rFonts w:ascii="Tahoma" w:hAnsi="Tahoma" w:cs="Tahoma"/>
      <w:sz w:val="16"/>
      <w:szCs w:val="16"/>
    </w:rPr>
  </w:style>
  <w:style w:type="paragraph" w:customStyle="1" w:styleId="Default">
    <w:name w:val="Default"/>
    <w:rsid w:val="00410D24"/>
    <w:pPr>
      <w:autoSpaceDE w:val="0"/>
      <w:autoSpaceDN w:val="0"/>
      <w:adjustRightInd w:val="0"/>
    </w:pPr>
    <w:rPr>
      <w:rFonts w:ascii="Myriad Pro" w:hAnsi="Myriad Pro" w:cs="Myriad Pro"/>
      <w:color w:val="000000"/>
      <w:sz w:val="24"/>
      <w:szCs w:val="24"/>
    </w:rPr>
  </w:style>
  <w:style w:type="character" w:customStyle="1" w:styleId="A2">
    <w:name w:val="A2"/>
    <w:uiPriority w:val="99"/>
    <w:rsid w:val="00410D24"/>
    <w:rPr>
      <w:rFonts w:cs="Myriad Pro"/>
      <w:color w:val="0078C1"/>
      <w:sz w:val="14"/>
      <w:szCs w:val="14"/>
    </w:rPr>
  </w:style>
  <w:style w:type="paragraph" w:customStyle="1" w:styleId="Pa0">
    <w:name w:val="Pa0"/>
    <w:basedOn w:val="Default"/>
    <w:next w:val="Default"/>
    <w:uiPriority w:val="99"/>
    <w:rsid w:val="00B55850"/>
    <w:pPr>
      <w:spacing w:line="241" w:lineRule="atLeast"/>
    </w:pPr>
    <w:rPr>
      <w:rFonts w:cs="Times New Roman"/>
      <w:color w:val="auto"/>
    </w:rPr>
  </w:style>
  <w:style w:type="character" w:customStyle="1" w:styleId="A0">
    <w:name w:val="A0"/>
    <w:uiPriority w:val="99"/>
    <w:rsid w:val="00B55850"/>
    <w:rPr>
      <w:rFonts w:cs="Myriad Pro"/>
      <w:color w:val="706F72"/>
      <w:sz w:val="20"/>
      <w:szCs w:val="20"/>
    </w:rPr>
  </w:style>
  <w:style w:type="character" w:customStyle="1" w:styleId="A1">
    <w:name w:val="A1"/>
    <w:uiPriority w:val="99"/>
    <w:rsid w:val="00E7210A"/>
    <w:rPr>
      <w:rFonts w:cs="Myriad Pro Light"/>
      <w:color w:val="706F72"/>
      <w:sz w:val="28"/>
      <w:szCs w:val="28"/>
    </w:rPr>
  </w:style>
  <w:style w:type="paragraph" w:customStyle="1" w:styleId="Pa1">
    <w:name w:val="Pa1"/>
    <w:basedOn w:val="Default"/>
    <w:next w:val="Default"/>
    <w:uiPriority w:val="99"/>
    <w:rsid w:val="00E7210A"/>
    <w:pPr>
      <w:spacing w:line="241" w:lineRule="atLeast"/>
    </w:pPr>
    <w:rPr>
      <w:rFonts w:cs="Times New Roman"/>
      <w:color w:val="auto"/>
    </w:rPr>
  </w:style>
  <w:style w:type="paragraph" w:customStyle="1" w:styleId="Headline">
    <w:name w:val="Headline"/>
    <w:basedOn w:val="Normal"/>
    <w:link w:val="HeadlineChar"/>
    <w:qFormat/>
    <w:rsid w:val="004E3BB6"/>
    <w:pPr>
      <w:ind w:left="-360"/>
    </w:pPr>
    <w:rPr>
      <w:rFonts w:ascii="Helvetica LT Std" w:hAnsi="Helvetica LT Std" w:cs="Calibri"/>
      <w:color w:val="83A343"/>
      <w:sz w:val="28"/>
    </w:rPr>
  </w:style>
  <w:style w:type="paragraph" w:customStyle="1" w:styleId="introtext">
    <w:name w:val="intro text"/>
    <w:basedOn w:val="Normal"/>
    <w:link w:val="introtextChar"/>
    <w:qFormat/>
    <w:rsid w:val="004E3BB6"/>
    <w:pPr>
      <w:ind w:left="-360"/>
    </w:pPr>
    <w:rPr>
      <w:rFonts w:ascii="Helvetica LT Std" w:hAnsi="Helvetica LT Std" w:cs="Myriad Pro"/>
      <w:color w:val="706F72"/>
      <w:sz w:val="19"/>
      <w:szCs w:val="19"/>
    </w:rPr>
  </w:style>
  <w:style w:type="character" w:customStyle="1" w:styleId="HeadlineChar">
    <w:name w:val="Headline Char"/>
    <w:link w:val="Headline"/>
    <w:rsid w:val="004E3BB6"/>
    <w:rPr>
      <w:rFonts w:ascii="Helvetica LT Std" w:hAnsi="Helvetica LT Std" w:cs="Calibri"/>
      <w:color w:val="83A343"/>
      <w:sz w:val="28"/>
      <w:szCs w:val="22"/>
    </w:rPr>
  </w:style>
  <w:style w:type="paragraph" w:styleId="NoSpacing">
    <w:name w:val="No Spacing"/>
    <w:uiPriority w:val="1"/>
    <w:qFormat/>
    <w:rsid w:val="004E3BB6"/>
    <w:rPr>
      <w:sz w:val="22"/>
      <w:szCs w:val="22"/>
    </w:rPr>
  </w:style>
  <w:style w:type="character" w:customStyle="1" w:styleId="introtextChar">
    <w:name w:val="intro text Char"/>
    <w:link w:val="introtext"/>
    <w:rsid w:val="004E3BB6"/>
    <w:rPr>
      <w:rFonts w:ascii="Helvetica LT Std" w:hAnsi="Helvetica LT Std" w:cs="Myriad Pro"/>
      <w:color w:val="706F72"/>
      <w:sz w:val="19"/>
      <w:szCs w:val="19"/>
    </w:rPr>
  </w:style>
  <w:style w:type="paragraph" w:styleId="DocumentMap">
    <w:name w:val="Document Map"/>
    <w:basedOn w:val="Normal"/>
    <w:link w:val="DocumentMapChar"/>
    <w:uiPriority w:val="99"/>
    <w:semiHidden/>
    <w:unhideWhenUsed/>
    <w:rsid w:val="00242EAF"/>
    <w:rPr>
      <w:rFonts w:ascii="Tahoma" w:hAnsi="Tahoma" w:cs="Tahoma"/>
      <w:sz w:val="16"/>
      <w:szCs w:val="16"/>
    </w:rPr>
  </w:style>
  <w:style w:type="character" w:customStyle="1" w:styleId="DocumentMapChar">
    <w:name w:val="Document Map Char"/>
    <w:link w:val="DocumentMap"/>
    <w:uiPriority w:val="99"/>
    <w:semiHidden/>
    <w:rsid w:val="00242EAF"/>
    <w:rPr>
      <w:rFonts w:ascii="Tahoma" w:hAnsi="Tahoma" w:cs="Tahoma"/>
      <w:sz w:val="16"/>
      <w:szCs w:val="16"/>
    </w:rPr>
  </w:style>
  <w:style w:type="character" w:styleId="Hyperlink">
    <w:name w:val="Hyperlink"/>
    <w:uiPriority w:val="99"/>
    <w:unhideWhenUsed/>
    <w:rsid w:val="00F55E99"/>
    <w:rPr>
      <w:color w:val="0000FF"/>
      <w:u w:val="single"/>
    </w:rPr>
  </w:style>
  <w:style w:type="paragraph" w:styleId="ListParagraph">
    <w:name w:val="List Paragraph"/>
    <w:basedOn w:val="Normal"/>
    <w:uiPriority w:val="34"/>
    <w:qFormat/>
    <w:rsid w:val="00F55E99"/>
    <w:pPr>
      <w:ind w:left="720"/>
      <w:contextualSpacing/>
    </w:pPr>
  </w:style>
  <w:style w:type="character" w:styleId="UnresolvedMention">
    <w:name w:val="Unresolved Mention"/>
    <w:basedOn w:val="DefaultParagraphFont"/>
    <w:uiPriority w:val="99"/>
    <w:semiHidden/>
    <w:unhideWhenUsed/>
    <w:rsid w:val="002F3F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5679">
      <w:bodyDiv w:val="1"/>
      <w:marLeft w:val="0"/>
      <w:marRight w:val="0"/>
      <w:marTop w:val="0"/>
      <w:marBottom w:val="0"/>
      <w:divBdr>
        <w:top w:val="none" w:sz="0" w:space="0" w:color="auto"/>
        <w:left w:val="none" w:sz="0" w:space="0" w:color="auto"/>
        <w:bottom w:val="none" w:sz="0" w:space="0" w:color="auto"/>
        <w:right w:val="none" w:sz="0" w:space="0" w:color="auto"/>
      </w:divBdr>
    </w:div>
    <w:div w:id="181551666">
      <w:bodyDiv w:val="1"/>
      <w:marLeft w:val="0"/>
      <w:marRight w:val="0"/>
      <w:marTop w:val="0"/>
      <w:marBottom w:val="0"/>
      <w:divBdr>
        <w:top w:val="none" w:sz="0" w:space="0" w:color="auto"/>
        <w:left w:val="none" w:sz="0" w:space="0" w:color="auto"/>
        <w:bottom w:val="none" w:sz="0" w:space="0" w:color="auto"/>
        <w:right w:val="none" w:sz="0" w:space="0" w:color="auto"/>
      </w:divBdr>
    </w:div>
    <w:div w:id="1585412409">
      <w:bodyDiv w:val="1"/>
      <w:marLeft w:val="0"/>
      <w:marRight w:val="0"/>
      <w:marTop w:val="0"/>
      <w:marBottom w:val="0"/>
      <w:divBdr>
        <w:top w:val="none" w:sz="0" w:space="0" w:color="auto"/>
        <w:left w:val="none" w:sz="0" w:space="0" w:color="auto"/>
        <w:bottom w:val="none" w:sz="0" w:space="0" w:color="auto"/>
        <w:right w:val="none" w:sz="0" w:space="0" w:color="auto"/>
      </w:divBdr>
    </w:div>
    <w:div w:id="1656253000">
      <w:bodyDiv w:val="1"/>
      <w:marLeft w:val="0"/>
      <w:marRight w:val="0"/>
      <w:marTop w:val="0"/>
      <w:marBottom w:val="0"/>
      <w:divBdr>
        <w:top w:val="none" w:sz="0" w:space="0" w:color="auto"/>
        <w:left w:val="none" w:sz="0" w:space="0" w:color="auto"/>
        <w:bottom w:val="none" w:sz="0" w:space="0" w:color="auto"/>
        <w:right w:val="none" w:sz="0" w:space="0" w:color="auto"/>
      </w:divBdr>
    </w:div>
    <w:div w:id="18883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wresearch.org/fact-tank/2015/10/01/women-more-than-men-adjust-their-careers-for-family-life/" TargetMode="External"/><Relationship Id="rId13" Type="http://schemas.openxmlformats.org/officeDocument/2006/relationships/hyperlink" Target="https://www.igrad.com/articles/investment-strategies-for-women-part-one" TargetMode="External"/><Relationship Id="rId18" Type="http://schemas.openxmlformats.org/officeDocument/2006/relationships/hyperlink" Target="https://www.igrad.com/games/invest-quest.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ie.org/managing-your-money/how-to-track-your-money/interactive-credit-report/" TargetMode="External"/><Relationship Id="rId7" Type="http://schemas.openxmlformats.org/officeDocument/2006/relationships/hyperlink" Target="https://www.census.gov/library/publications/2017/demo/p60-259.html" TargetMode="External"/><Relationship Id="rId12" Type="http://schemas.openxmlformats.org/officeDocument/2006/relationships/hyperlink" Target="https://www.igrad.com/articles/why-am-i-going-over-my-budget" TargetMode="External"/><Relationship Id="rId17" Type="http://schemas.openxmlformats.org/officeDocument/2006/relationships/hyperlink" Target="https://www.igrad.com/webinars/finance-and-family-money-personalit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grad.com/calculators/savings-investment-calculator" TargetMode="External"/><Relationship Id="rId20" Type="http://schemas.openxmlformats.org/officeDocument/2006/relationships/hyperlink" Target="https://www.aie.org/managing-your-money/how-to-track-your-money/reading-credit-card-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grad.com/cours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grad.com/budget" TargetMode="External"/><Relationship Id="rId23" Type="http://schemas.openxmlformats.org/officeDocument/2006/relationships/hyperlink" Target="https://www.trelliscompany.org/student-financial-education-program/download/" TargetMode="External"/><Relationship Id="rId10" Type="http://schemas.openxmlformats.org/officeDocument/2006/relationships/hyperlink" Target="https://www.aarp.org/content/dam/aarp/research/public_policy_institute/econ_sec/2013/uphill-climb-women-face-greater-obstacles-retirement-security-AARP-ppi-econ-sec.pdf" TargetMode="External"/><Relationship Id="rId19" Type="http://schemas.openxmlformats.org/officeDocument/2006/relationships/hyperlink" Target="https://www.igrad.com/games/credit-card-simulator.aspx" TargetMode="External"/><Relationship Id="rId4" Type="http://schemas.openxmlformats.org/officeDocument/2006/relationships/webSettings" Target="webSettings.xml"/><Relationship Id="rId9" Type="http://schemas.openxmlformats.org/officeDocument/2006/relationships/hyperlink" Target="http://scholarcommons.usf.edu/cgi/viewcontent.cgi?article=1134&amp;context=numeracy" TargetMode="External"/><Relationship Id="rId14" Type="http://schemas.openxmlformats.org/officeDocument/2006/relationships/hyperlink" Target="https://www.igrad.com/articles/investment-strategies-for-women-part-two" TargetMode="External"/><Relationship Id="rId22" Type="http://schemas.openxmlformats.org/officeDocument/2006/relationships/hyperlink" Target="https://www.trelliscompany.org/student-financial-education-program/training-and-resources-for-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TG</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tgrob</dc:creator>
  <cp:keywords/>
  <cp:lastModifiedBy>Richard Sapp</cp:lastModifiedBy>
  <cp:revision>2</cp:revision>
  <cp:lastPrinted>2017-10-24T21:01:00Z</cp:lastPrinted>
  <dcterms:created xsi:type="dcterms:W3CDTF">2018-07-03T20:01:00Z</dcterms:created>
  <dcterms:modified xsi:type="dcterms:W3CDTF">2018-07-03T20:01:00Z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1617252346</vt:i4>
  </property>
  <property fmtid="{D5CDD505-2E9C-101B-9397-08002B2CF9AE}" pid="4" name="_EmailSubject">
    <vt:lpwstr>Project Success: Financial Education follow-up </vt:lpwstr>
  </property>
  <property fmtid="{D5CDD505-2E9C-101B-9397-08002B2CF9AE}" pid="5" name="_AuthorEmail">
    <vt:lpwstr>Phillip.Nevels@trelliscompany.org</vt:lpwstr>
  </property>
  <property fmtid="{D5CDD505-2E9C-101B-9397-08002B2CF9AE}" pid="6" name="_AuthorEmailDisplayName">
    <vt:lpwstr>Nevels, Phillip</vt:lpwstr>
  </property>
  <property fmtid="{D5CDD505-2E9C-101B-9397-08002B2CF9AE}" pid="7" name="_PreviousAdHocReviewCycleID">
    <vt:i4>-1760463472</vt:i4>
  </property>
  <property fmtid="{D5CDD505-2E9C-101B-9397-08002B2CF9AE}" pid="8" name="_ReviewingToolsShownOnce">
    <vt:lpwstr/>
  </property>
</Properties>
</file>